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B61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40" w:lineRule="exact"/>
        <w:ind w:right="0"/>
        <w:jc w:val="both"/>
        <w:textAlignment w:val="auto"/>
        <w:rPr>
          <w:rFonts w:hint="eastAsia" w:ascii="黑体" w:hAnsi="黑体" w:eastAsia="黑体" w:cs="黑体"/>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highlight w:val="none"/>
          <w:shd w:val="clear" w:fill="FFFFFF"/>
          <w:lang w:eastAsia="zh-CN"/>
          <w14:textFill>
            <w14:solidFill>
              <w14:schemeClr w14:val="tx1"/>
            </w14:solidFill>
          </w14:textFill>
        </w:rPr>
        <w:t>附件</w:t>
      </w:r>
    </w:p>
    <w:p w14:paraId="2C3AAC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36"/>
          <w:szCs w:val="36"/>
          <w:highlight w:val="none"/>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36"/>
          <w:szCs w:val="36"/>
          <w:highlight w:val="none"/>
          <w:shd w:val="clear" w:fill="FFFFFF"/>
          <w:lang w:val="en-US" w:eastAsia="zh-CN"/>
          <w14:textFill>
            <w14:solidFill>
              <w14:schemeClr w14:val="tx1"/>
            </w14:solidFill>
          </w14:textFill>
        </w:rPr>
        <w:t>安庆市公共资源交易代理机构及其从业人员信用评价标准</w:t>
      </w:r>
    </w:p>
    <w:tbl>
      <w:tblPr>
        <w:tblStyle w:val="9"/>
        <w:tblW w:w="16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50"/>
        <w:gridCol w:w="1440"/>
        <w:gridCol w:w="7560"/>
        <w:gridCol w:w="1470"/>
        <w:gridCol w:w="2115"/>
        <w:gridCol w:w="1665"/>
      </w:tblGrid>
      <w:tr w14:paraId="74BE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70" w:type="dxa"/>
            <w:vAlign w:val="center"/>
          </w:tcPr>
          <w:p w14:paraId="1B92CF22">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黑体" w:hAnsi="黑体" w:eastAsia="黑体" w:cs="黑体"/>
                <w:b w:val="0"/>
                <w:bCs/>
                <w:color w:val="000000" w:themeColor="text1"/>
                <w:kern w:val="0"/>
                <w:sz w:val="28"/>
                <w:szCs w:val="28"/>
                <w:highlight w:val="none"/>
                <w14:textFill>
                  <w14:solidFill>
                    <w14:schemeClr w14:val="tx1"/>
                  </w14:solidFill>
                </w14:textFill>
              </w:rPr>
            </w:pPr>
            <w:r>
              <w:rPr>
                <w:rFonts w:hint="eastAsia" w:ascii="黑体" w:hAnsi="黑体" w:eastAsia="黑体" w:cs="黑体"/>
                <w:b w:val="0"/>
                <w:bCs/>
                <w:color w:val="000000" w:themeColor="text1"/>
                <w:kern w:val="0"/>
                <w:sz w:val="28"/>
                <w:szCs w:val="28"/>
                <w:highlight w:val="none"/>
                <w:lang w:bidi="ar"/>
                <w14:textFill>
                  <w14:solidFill>
                    <w14:schemeClr w14:val="tx1"/>
                  </w14:solidFill>
                </w14:textFill>
              </w:rPr>
              <w:t>序号</w:t>
            </w:r>
          </w:p>
        </w:tc>
        <w:tc>
          <w:tcPr>
            <w:tcW w:w="2490" w:type="dxa"/>
            <w:gridSpan w:val="2"/>
            <w:vAlign w:val="center"/>
          </w:tcPr>
          <w:p w14:paraId="4801953D">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黑体" w:hAnsi="黑体" w:eastAsia="黑体" w:cs="黑体"/>
                <w:b w:val="0"/>
                <w:bCs/>
                <w:color w:val="000000" w:themeColor="text1"/>
                <w:kern w:val="0"/>
                <w:sz w:val="28"/>
                <w:szCs w:val="28"/>
                <w:highlight w:val="none"/>
                <w14:textFill>
                  <w14:solidFill>
                    <w14:schemeClr w14:val="tx1"/>
                  </w14:solidFill>
                </w14:textFill>
              </w:rPr>
            </w:pPr>
            <w:r>
              <w:rPr>
                <w:rFonts w:hint="eastAsia" w:ascii="黑体" w:hAnsi="黑体" w:eastAsia="黑体" w:cs="黑体"/>
                <w:b w:val="0"/>
                <w:bCs/>
                <w:color w:val="000000" w:themeColor="text1"/>
                <w:kern w:val="0"/>
                <w:sz w:val="28"/>
                <w:szCs w:val="28"/>
                <w:highlight w:val="none"/>
                <w:lang w:bidi="ar"/>
                <w14:textFill>
                  <w14:solidFill>
                    <w14:schemeClr w14:val="tx1"/>
                  </w14:solidFill>
                </w14:textFill>
              </w:rPr>
              <w:t>评价项目</w:t>
            </w:r>
          </w:p>
        </w:tc>
        <w:tc>
          <w:tcPr>
            <w:tcW w:w="7560" w:type="dxa"/>
            <w:vAlign w:val="center"/>
          </w:tcPr>
          <w:p w14:paraId="19D006A3">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黑体" w:hAnsi="黑体" w:eastAsia="黑体" w:cs="黑体"/>
                <w:b w:val="0"/>
                <w:bCs/>
                <w:color w:val="000000" w:themeColor="text1"/>
                <w:kern w:val="0"/>
                <w:sz w:val="28"/>
                <w:szCs w:val="28"/>
                <w:highlight w:val="none"/>
                <w14:textFill>
                  <w14:solidFill>
                    <w14:schemeClr w14:val="tx1"/>
                  </w14:solidFill>
                </w14:textFill>
              </w:rPr>
            </w:pPr>
            <w:r>
              <w:rPr>
                <w:rFonts w:hint="eastAsia" w:ascii="黑体" w:hAnsi="黑体" w:eastAsia="黑体" w:cs="黑体"/>
                <w:b w:val="0"/>
                <w:bCs/>
                <w:color w:val="000000" w:themeColor="text1"/>
                <w:kern w:val="0"/>
                <w:sz w:val="28"/>
                <w:szCs w:val="28"/>
                <w:highlight w:val="none"/>
                <w:lang w:bidi="ar"/>
                <w14:textFill>
                  <w14:solidFill>
                    <w14:schemeClr w14:val="tx1"/>
                  </w14:solidFill>
                </w14:textFill>
              </w:rPr>
              <w:t>评价标准</w:t>
            </w:r>
          </w:p>
        </w:tc>
        <w:tc>
          <w:tcPr>
            <w:tcW w:w="1470" w:type="dxa"/>
            <w:vAlign w:val="center"/>
          </w:tcPr>
          <w:p w14:paraId="0F02C67F">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黑体" w:hAnsi="黑体" w:eastAsia="黑体" w:cs="黑体"/>
                <w:b w:val="0"/>
                <w:bCs/>
                <w:color w:val="000000" w:themeColor="text1"/>
                <w:kern w:val="0"/>
                <w:sz w:val="28"/>
                <w:szCs w:val="28"/>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28"/>
                <w:szCs w:val="28"/>
                <w:highlight w:val="none"/>
                <w:lang w:val="en-US" w:eastAsia="zh-CN" w:bidi="ar"/>
                <w14:textFill>
                  <w14:solidFill>
                    <w14:schemeClr w14:val="tx1"/>
                  </w14:solidFill>
                </w14:textFill>
              </w:rPr>
              <w:t>评价对象</w:t>
            </w:r>
          </w:p>
        </w:tc>
        <w:tc>
          <w:tcPr>
            <w:tcW w:w="2115" w:type="dxa"/>
            <w:vAlign w:val="center"/>
          </w:tcPr>
          <w:p w14:paraId="0396871A">
            <w:pPr>
              <w:keepNext w:val="0"/>
              <w:keepLines w:val="0"/>
              <w:pageBreakBefore w:val="0"/>
              <w:widowControl/>
              <w:tabs>
                <w:tab w:val="left" w:pos="465"/>
              </w:tabs>
              <w:kinsoku/>
              <w:wordWrap/>
              <w:overflowPunct/>
              <w:topLinePunct w:val="0"/>
              <w:autoSpaceDE/>
              <w:autoSpaceDN/>
              <w:bidi w:val="0"/>
              <w:adjustRightInd w:val="0"/>
              <w:snapToGrid/>
              <w:spacing w:line="360" w:lineRule="exact"/>
              <w:jc w:val="center"/>
              <w:textAlignment w:val="center"/>
              <w:rPr>
                <w:rFonts w:hint="eastAsia" w:ascii="黑体" w:hAnsi="黑体" w:eastAsia="黑体" w:cs="黑体"/>
                <w:b w:val="0"/>
                <w:bCs/>
                <w:color w:val="000000" w:themeColor="text1"/>
                <w:kern w:val="0"/>
                <w:sz w:val="28"/>
                <w:szCs w:val="28"/>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28"/>
                <w:szCs w:val="28"/>
                <w:highlight w:val="none"/>
                <w:lang w:bidi="ar"/>
                <w14:textFill>
                  <w14:solidFill>
                    <w14:schemeClr w14:val="tx1"/>
                  </w14:solidFill>
                </w14:textFill>
              </w:rPr>
              <w:t>评价实施主体</w:t>
            </w:r>
          </w:p>
        </w:tc>
        <w:tc>
          <w:tcPr>
            <w:tcW w:w="1665" w:type="dxa"/>
            <w:vAlign w:val="center"/>
          </w:tcPr>
          <w:p w14:paraId="1A66A83D">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黑体" w:hAnsi="黑体" w:eastAsia="黑体" w:cs="黑体"/>
                <w:b w:val="0"/>
                <w:bCs/>
                <w:color w:val="000000" w:themeColor="text1"/>
                <w:sz w:val="28"/>
                <w:szCs w:val="28"/>
                <w:highlight w:val="none"/>
                <w:vertAlign w:val="baseline"/>
                <w14:textFill>
                  <w14:solidFill>
                    <w14:schemeClr w14:val="tx1"/>
                  </w14:solidFill>
                </w14:textFill>
              </w:rPr>
            </w:pPr>
            <w:r>
              <w:rPr>
                <w:rFonts w:hint="eastAsia" w:ascii="黑体" w:hAnsi="黑体" w:eastAsia="黑体" w:cs="黑体"/>
                <w:b w:val="0"/>
                <w:bCs/>
                <w:color w:val="000000" w:themeColor="text1"/>
                <w:kern w:val="0"/>
                <w:sz w:val="28"/>
                <w:szCs w:val="28"/>
                <w:highlight w:val="none"/>
                <w:lang w:val="en-US" w:eastAsia="zh-CN" w:bidi="ar"/>
                <w14:textFill>
                  <w14:solidFill>
                    <w14:schemeClr w14:val="tx1"/>
                  </w14:solidFill>
                </w14:textFill>
              </w:rPr>
              <w:t>备注</w:t>
            </w:r>
          </w:p>
        </w:tc>
      </w:tr>
      <w:tr w14:paraId="2220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14:paraId="77FDF80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w:t>
            </w:r>
          </w:p>
        </w:tc>
        <w:tc>
          <w:tcPr>
            <w:tcW w:w="1050" w:type="dxa"/>
            <w:vMerge w:val="restart"/>
            <w:vAlign w:val="center"/>
          </w:tcPr>
          <w:p w14:paraId="120C070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企业基本信息</w:t>
            </w:r>
          </w:p>
          <w:p w14:paraId="2AED3E4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1440" w:type="dxa"/>
            <w:vAlign w:val="center"/>
          </w:tcPr>
          <w:p w14:paraId="78914D55">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代理机构基本情况填报</w:t>
            </w:r>
          </w:p>
          <w:p w14:paraId="4D452BF2">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7560" w:type="dxa"/>
            <w:vAlign w:val="center"/>
          </w:tcPr>
          <w:p w14:paraId="53DB6D73">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代理机构信息填报真实、完整、准确的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得2</w:t>
            </w:r>
            <w:r>
              <w:rPr>
                <w:rFonts w:hint="eastAsia" w:ascii="宋体" w:hAnsi="宋体" w:eastAsia="宋体" w:cs="宋体"/>
                <w:color w:val="000000" w:themeColor="text1"/>
                <w:kern w:val="0"/>
                <w:sz w:val="24"/>
                <w:szCs w:val="24"/>
                <w:highlight w:val="none"/>
                <w14:textFill>
                  <w14:solidFill>
                    <w14:schemeClr w14:val="tx1"/>
                  </w14:solidFill>
                </w14:textFill>
              </w:rPr>
              <w:t>分，发现不完整的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kern w:val="0"/>
                <w:sz w:val="24"/>
                <w:szCs w:val="24"/>
                <w:highlight w:val="none"/>
                <w14:textFill>
                  <w14:solidFill>
                    <w14:schemeClr w14:val="tx1"/>
                  </w14:solidFill>
                </w14:textFill>
              </w:rPr>
              <w:t>提供虚假材料、数据的，此项不得分。</w:t>
            </w:r>
          </w:p>
        </w:tc>
        <w:tc>
          <w:tcPr>
            <w:tcW w:w="1470" w:type="dxa"/>
            <w:vAlign w:val="center"/>
          </w:tcPr>
          <w:p w14:paraId="15DA4522">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63B25E30">
            <w:pPr>
              <w:keepNext w:val="0"/>
              <w:keepLines w:val="0"/>
              <w:pageBreakBefore w:val="0"/>
              <w:kinsoku/>
              <w:wordWrap/>
              <w:overflowPunct/>
              <w:topLinePunct w:val="0"/>
              <w:autoSpaceDE/>
              <w:autoSpaceDN/>
              <w:bidi w:val="0"/>
              <w:snapToGrid/>
              <w:spacing w:line="360" w:lineRule="exact"/>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47C2F3FE">
            <w:pPr>
              <w:keepNext w:val="0"/>
              <w:keepLines w:val="0"/>
              <w:pageBreakBefore w:val="0"/>
              <w:kinsoku/>
              <w:wordWrap/>
              <w:overflowPunct/>
              <w:topLinePunct w:val="0"/>
              <w:autoSpaceDE/>
              <w:autoSpaceDN/>
              <w:bidi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635C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870" w:type="dxa"/>
            <w:vMerge w:val="continue"/>
            <w:vAlign w:val="center"/>
          </w:tcPr>
          <w:p w14:paraId="60AC10E9">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1050" w:type="dxa"/>
            <w:vMerge w:val="continue"/>
            <w:vAlign w:val="center"/>
          </w:tcPr>
          <w:p w14:paraId="4987EE6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p>
        </w:tc>
        <w:tc>
          <w:tcPr>
            <w:tcW w:w="1440" w:type="dxa"/>
            <w:vAlign w:val="center"/>
          </w:tcPr>
          <w:p w14:paraId="3565BE5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p w14:paraId="023030D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管理制度</w:t>
            </w:r>
          </w:p>
          <w:p w14:paraId="7AF7C9B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p w14:paraId="3385804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p>
        </w:tc>
        <w:tc>
          <w:tcPr>
            <w:tcW w:w="7560" w:type="dxa"/>
            <w:vAlign w:val="center"/>
          </w:tcPr>
          <w:p w14:paraId="7A5FD09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具备完善的组织章程和管理制度得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分，每少一项扣0.5分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扣完为止</w:t>
            </w:r>
            <w:r>
              <w:rPr>
                <w:rFonts w:hint="eastAsia" w:ascii="宋体" w:hAnsi="宋体" w:eastAsia="宋体" w:cs="宋体"/>
                <w:color w:val="000000" w:themeColor="text1"/>
                <w:kern w:val="0"/>
                <w:sz w:val="24"/>
                <w:szCs w:val="24"/>
                <w:highlight w:val="none"/>
                <w14:textFill>
                  <w14:solidFill>
                    <w14:schemeClr w14:val="tx1"/>
                  </w14:solidFill>
                </w14:textFill>
              </w:rPr>
              <w:t>（包括：公司章程、人事管理制度、代理工作规则、合同管理办法、财务管理办法、工作岗位责任制度、工作人员执业守则、员工培训管理制度、代理工作流程、招标文件制作审核制度、招标档案管理制度，评委费发放制度、评标现场代理服务人员行为规范等与代理业务相关的制度。）</w:t>
            </w:r>
          </w:p>
        </w:tc>
        <w:tc>
          <w:tcPr>
            <w:tcW w:w="1470" w:type="dxa"/>
            <w:vAlign w:val="center"/>
          </w:tcPr>
          <w:p w14:paraId="32A0852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2807D6DD">
            <w:pPr>
              <w:keepNext w:val="0"/>
              <w:keepLines w:val="0"/>
              <w:pageBreakBefore w:val="0"/>
              <w:kinsoku/>
              <w:wordWrap/>
              <w:overflowPunct/>
              <w:topLinePunct w:val="0"/>
              <w:autoSpaceDE/>
              <w:autoSpaceDN/>
              <w:bidi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4E360207">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1082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870" w:type="dxa"/>
            <w:vMerge w:val="continue"/>
            <w:vAlign w:val="center"/>
          </w:tcPr>
          <w:p w14:paraId="2B6355A7">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1050" w:type="dxa"/>
            <w:vMerge w:val="continue"/>
            <w:vAlign w:val="center"/>
          </w:tcPr>
          <w:p w14:paraId="2EA77217">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p>
        </w:tc>
        <w:tc>
          <w:tcPr>
            <w:tcW w:w="1440" w:type="dxa"/>
            <w:vAlign w:val="center"/>
          </w:tcPr>
          <w:p w14:paraId="2577D82B">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营业场所及办公设备</w:t>
            </w:r>
          </w:p>
          <w:p w14:paraId="63C5290A">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7560" w:type="dxa"/>
            <w:vAlign w:val="center"/>
          </w:tcPr>
          <w:p w14:paraId="30C2F782">
            <w:pPr>
              <w:keepNext w:val="0"/>
              <w:keepLines w:val="0"/>
              <w:pageBreakBefore w:val="0"/>
              <w:widowControl/>
              <w:numPr>
                <w:ilvl w:val="0"/>
                <w:numId w:val="0"/>
              </w:numPr>
              <w:kinsoku/>
              <w:wordWrap/>
              <w:overflowPunct/>
              <w:topLinePunct w:val="0"/>
              <w:autoSpaceDE/>
              <w:autoSpaceDN/>
              <w:bidi w:val="0"/>
              <w:adjustRightInd w:val="0"/>
              <w:snapToGrid/>
              <w:spacing w:line="360" w:lineRule="exact"/>
              <w:ind w:firstLine="480" w:firstLineChars="200"/>
              <w:jc w:val="both"/>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办公场所（含党建文化场所）为非住宅性质，办公场所建筑面积大于500平方米（含500平米），</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得5</w:t>
            </w:r>
            <w:r>
              <w:rPr>
                <w:rFonts w:hint="eastAsia" w:ascii="宋体" w:hAnsi="宋体" w:eastAsia="宋体" w:cs="宋体"/>
                <w:color w:val="000000" w:themeColor="text1"/>
                <w:kern w:val="0"/>
                <w:sz w:val="24"/>
                <w:szCs w:val="24"/>
                <w:highlight w:val="none"/>
                <w14:textFill>
                  <w14:solidFill>
                    <w14:schemeClr w14:val="tx1"/>
                  </w14:solidFill>
                </w14:textFill>
              </w:rPr>
              <w:t>分；办公场所建筑面积在200-500平方米（含200平米），</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得4</w:t>
            </w:r>
            <w:r>
              <w:rPr>
                <w:rFonts w:hint="eastAsia" w:ascii="宋体" w:hAnsi="宋体" w:eastAsia="宋体" w:cs="宋体"/>
                <w:color w:val="000000" w:themeColor="text1"/>
                <w:kern w:val="0"/>
                <w:sz w:val="24"/>
                <w:szCs w:val="24"/>
                <w:highlight w:val="none"/>
                <w14:textFill>
                  <w14:solidFill>
                    <w14:schemeClr w14:val="tx1"/>
                  </w14:solidFill>
                </w14:textFill>
              </w:rPr>
              <w:t>分；办公场所建筑面积小于100-200平方米（含100平米），</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得3</w:t>
            </w:r>
            <w:r>
              <w:rPr>
                <w:rFonts w:hint="eastAsia" w:ascii="宋体" w:hAnsi="宋体" w:eastAsia="宋体" w:cs="宋体"/>
                <w:color w:val="000000" w:themeColor="text1"/>
                <w:kern w:val="0"/>
                <w:sz w:val="24"/>
                <w:szCs w:val="24"/>
                <w:highlight w:val="none"/>
                <w14:textFill>
                  <w14:solidFill>
                    <w14:schemeClr w14:val="tx1"/>
                  </w14:solidFill>
                </w14:textFill>
              </w:rPr>
              <w:t>分；办公场所建筑面积小于100平方米，</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得1</w:t>
            </w:r>
          </w:p>
          <w:p w14:paraId="01AA4F2E">
            <w:pPr>
              <w:keepNext w:val="0"/>
              <w:keepLines w:val="0"/>
              <w:pageBreakBefore w:val="0"/>
              <w:widowControl/>
              <w:numPr>
                <w:ilvl w:val="0"/>
                <w:numId w:val="0"/>
              </w:numPr>
              <w:kinsoku/>
              <w:wordWrap/>
              <w:overflowPunct/>
              <w:topLinePunct w:val="0"/>
              <w:autoSpaceDE/>
              <w:autoSpaceDN/>
              <w:bidi w:val="0"/>
              <w:adjustRightInd w:val="0"/>
              <w:snapToGrid/>
              <w:spacing w:line="360" w:lineRule="exact"/>
              <w:jc w:val="both"/>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分，住宅性质办公场所或无办公场所的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41E5C762">
            <w:pPr>
              <w:keepNext w:val="0"/>
              <w:keepLines w:val="0"/>
              <w:pageBreakBefore w:val="0"/>
              <w:widowControl/>
              <w:numPr>
                <w:ilvl w:val="0"/>
                <w:numId w:val="0"/>
              </w:numPr>
              <w:kinsoku/>
              <w:wordWrap/>
              <w:overflowPunct/>
              <w:topLinePunct w:val="0"/>
              <w:autoSpaceDE/>
              <w:autoSpaceDN/>
              <w:bidi w:val="0"/>
              <w:adjustRightInd w:val="0"/>
              <w:snapToGrid/>
              <w:spacing w:line="360" w:lineRule="exact"/>
              <w:ind w:left="0" w:leftChars="0" w:firstLine="480" w:firstLineChars="20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营业场所功能分区（至少包括工作区、会议室、开标室、评标室、档案室等）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齐全且</w:t>
            </w:r>
            <w:r>
              <w:rPr>
                <w:rFonts w:hint="eastAsia" w:ascii="宋体" w:hAnsi="宋体" w:eastAsia="宋体" w:cs="宋体"/>
                <w:color w:val="000000" w:themeColor="text1"/>
                <w:kern w:val="0"/>
                <w:sz w:val="24"/>
                <w:szCs w:val="24"/>
                <w:highlight w:val="none"/>
                <w14:textFill>
                  <w14:solidFill>
                    <w14:schemeClr w14:val="tx1"/>
                  </w14:solidFill>
                </w14:textFill>
              </w:rPr>
              <w:t>办公设备</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完整</w:t>
            </w:r>
            <w:r>
              <w:rPr>
                <w:rFonts w:hint="eastAsia" w:ascii="宋体" w:hAnsi="宋体" w:eastAsia="宋体" w:cs="宋体"/>
                <w:color w:val="000000" w:themeColor="text1"/>
                <w:kern w:val="0"/>
                <w:sz w:val="24"/>
                <w:szCs w:val="24"/>
                <w:highlight w:val="none"/>
                <w14:textFill>
                  <w14:solidFill>
                    <w14:schemeClr w14:val="tx1"/>
                  </w14:solidFill>
                </w14:textFill>
              </w:rPr>
              <w:t>（每人不少于一台电脑</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kern w:val="0"/>
                <w:sz w:val="24"/>
                <w:szCs w:val="24"/>
                <w:highlight w:val="none"/>
                <w14:textFill>
                  <w14:solidFill>
                    <w14:schemeClr w14:val="tx1"/>
                  </w14:solidFill>
                </w14:textFill>
              </w:rPr>
              <w:t>）的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kern w:val="0"/>
                <w:sz w:val="24"/>
                <w:szCs w:val="24"/>
                <w:highlight w:val="none"/>
                <w14:textFill>
                  <w14:solidFill>
                    <w14:schemeClr w14:val="tx1"/>
                  </w14:solidFill>
                </w14:textFill>
              </w:rPr>
              <w:t>2分，</w:t>
            </w:r>
          </w:p>
          <w:p w14:paraId="534041DF">
            <w:pPr>
              <w:keepNext w:val="0"/>
              <w:keepLines w:val="0"/>
              <w:pageBreakBefore w:val="0"/>
              <w:widowControl/>
              <w:numPr>
                <w:ilvl w:val="0"/>
                <w:numId w:val="0"/>
              </w:numPr>
              <w:kinsoku/>
              <w:wordWrap/>
              <w:overflowPunct/>
              <w:topLinePunct w:val="0"/>
              <w:autoSpaceDE/>
              <w:autoSpaceDN/>
              <w:bidi w:val="0"/>
              <w:adjustRightInd w:val="0"/>
              <w:snapToGrid/>
              <w:spacing w:line="360" w:lineRule="exact"/>
              <w:jc w:val="left"/>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不完备的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6BAA3665">
            <w:pPr>
              <w:keepNext w:val="0"/>
              <w:keepLines w:val="0"/>
              <w:pageBreakBefore w:val="0"/>
              <w:widowControl/>
              <w:numPr>
                <w:ilvl w:val="0"/>
                <w:numId w:val="0"/>
              </w:numPr>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0EAFAE7B">
            <w:pPr>
              <w:keepNext w:val="0"/>
              <w:keepLines w:val="0"/>
              <w:pageBreakBefore w:val="0"/>
              <w:kinsoku/>
              <w:wordWrap/>
              <w:overflowPunct/>
              <w:topLinePunct w:val="0"/>
              <w:autoSpaceDE/>
              <w:autoSpaceDN/>
              <w:bidi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3FA89E5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4AC4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870" w:type="dxa"/>
            <w:vMerge w:val="continue"/>
            <w:vAlign w:val="center"/>
          </w:tcPr>
          <w:p w14:paraId="4A881CF7">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1050" w:type="dxa"/>
            <w:vMerge w:val="continue"/>
            <w:vAlign w:val="center"/>
          </w:tcPr>
          <w:p w14:paraId="6CD29AD0">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p>
        </w:tc>
        <w:tc>
          <w:tcPr>
            <w:tcW w:w="1440" w:type="dxa"/>
            <w:vAlign w:val="center"/>
          </w:tcPr>
          <w:p w14:paraId="1C5340AF">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人员配备及素质</w:t>
            </w:r>
          </w:p>
          <w:p w14:paraId="039A9C0B">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（15分）</w:t>
            </w:r>
          </w:p>
        </w:tc>
        <w:tc>
          <w:tcPr>
            <w:tcW w:w="7560" w:type="dxa"/>
            <w:vAlign w:val="center"/>
          </w:tcPr>
          <w:p w14:paraId="1BD6F036">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1.从业</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人员总数（含代理人员、工程造价咨询人员、工程监理人员、项目管理与咨询服务人员、其他人员等人员）超过</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人（含</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人）</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得8</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分， 工作人员在</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15-20</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人（含</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15</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人）</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得6</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分，工作人员在</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10-15</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人（含</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人）</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得4</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分</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从业人员在5人以下（不含5人）得1分。</w:t>
            </w:r>
          </w:p>
        </w:tc>
        <w:tc>
          <w:tcPr>
            <w:tcW w:w="1470" w:type="dxa"/>
            <w:vAlign w:val="center"/>
          </w:tcPr>
          <w:p w14:paraId="5D18B7AD">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38518D33">
            <w:pPr>
              <w:keepNext w:val="0"/>
              <w:keepLines w:val="0"/>
              <w:pageBreakBefore w:val="0"/>
              <w:kinsoku/>
              <w:wordWrap/>
              <w:overflowPunct/>
              <w:topLinePunct w:val="0"/>
              <w:autoSpaceDE/>
              <w:autoSpaceDN/>
              <w:bidi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33036BE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0D7E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70" w:type="dxa"/>
            <w:vMerge w:val="restart"/>
            <w:vAlign w:val="center"/>
          </w:tcPr>
          <w:p w14:paraId="522D5AB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1050" w:type="dxa"/>
            <w:vMerge w:val="restart"/>
            <w:vAlign w:val="center"/>
          </w:tcPr>
          <w:p w14:paraId="63670E4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p>
        </w:tc>
        <w:tc>
          <w:tcPr>
            <w:tcW w:w="1440" w:type="dxa"/>
            <w:vAlign w:val="center"/>
          </w:tcPr>
          <w:p w14:paraId="31F41A98">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7560" w:type="dxa"/>
            <w:vAlign w:val="center"/>
          </w:tcPr>
          <w:p w14:paraId="07152B4A">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技术、经济专业职称人员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占比在</w:t>
            </w:r>
            <w:r>
              <w:rPr>
                <w:rFonts w:hint="eastAsia" w:ascii="宋体" w:hAnsi="宋体" w:eastAsia="宋体" w:cs="宋体"/>
                <w:color w:val="000000" w:themeColor="text1"/>
                <w:kern w:val="0"/>
                <w:sz w:val="24"/>
                <w:szCs w:val="24"/>
                <w:highlight w:val="none"/>
                <w14:textFill>
                  <w14:solidFill>
                    <w14:schemeClr w14:val="tx1"/>
                  </w14:solidFill>
                </w14:textFill>
              </w:rPr>
              <w:t>40%以上的，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得7</w:t>
            </w:r>
            <w:r>
              <w:rPr>
                <w:rFonts w:hint="eastAsia" w:ascii="宋体" w:hAnsi="宋体" w:eastAsia="宋体" w:cs="宋体"/>
                <w:color w:val="000000" w:themeColor="text1"/>
                <w:kern w:val="0"/>
                <w:sz w:val="24"/>
                <w:szCs w:val="24"/>
                <w:highlight w:val="none"/>
                <w14:textFill>
                  <w14:solidFill>
                    <w14:schemeClr w14:val="tx1"/>
                  </w14:solidFill>
                </w14:textFill>
              </w:rPr>
              <w:t>分；技术、经济专业职称人员比例在30%-40%的，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得5</w:t>
            </w:r>
            <w:r>
              <w:rPr>
                <w:rFonts w:hint="eastAsia" w:ascii="宋体" w:hAnsi="宋体" w:eastAsia="宋体" w:cs="宋体"/>
                <w:color w:val="000000" w:themeColor="text1"/>
                <w:kern w:val="0"/>
                <w:sz w:val="24"/>
                <w:szCs w:val="24"/>
                <w:highlight w:val="none"/>
                <w14:textFill>
                  <w14:solidFill>
                    <w14:schemeClr w14:val="tx1"/>
                  </w14:solidFill>
                </w14:textFill>
              </w:rPr>
              <w:t>分；技术、经济专业职称人员比例在20%-30%的，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kern w:val="0"/>
                <w:sz w:val="24"/>
                <w:szCs w:val="24"/>
                <w:highlight w:val="none"/>
                <w14:textFill>
                  <w14:solidFill>
                    <w14:schemeClr w14:val="tx1"/>
                  </w14:solidFill>
                </w14:textFill>
              </w:rPr>
              <w:t>3分；技术、经济专业职称人员比例在20%以下的，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得1</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3C857917">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037C0F8D">
            <w:pPr>
              <w:keepNext w:val="0"/>
              <w:keepLines w:val="0"/>
              <w:pageBreakBefore w:val="0"/>
              <w:kinsoku/>
              <w:wordWrap/>
              <w:overflowPunct/>
              <w:topLinePunct w:val="0"/>
              <w:autoSpaceDE/>
              <w:autoSpaceDN/>
              <w:bidi w:val="0"/>
              <w:snapToGrid/>
              <w:spacing w:line="36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0A73A444">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6A2F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70" w:type="dxa"/>
            <w:vMerge w:val="continue"/>
            <w:vAlign w:val="center"/>
          </w:tcPr>
          <w:p w14:paraId="754EAC1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1050" w:type="dxa"/>
            <w:vMerge w:val="continue"/>
            <w:vAlign w:val="center"/>
          </w:tcPr>
          <w:p w14:paraId="468A8D3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p>
        </w:tc>
        <w:tc>
          <w:tcPr>
            <w:tcW w:w="1440" w:type="dxa"/>
            <w:vAlign w:val="center"/>
          </w:tcPr>
          <w:p w14:paraId="10D52DE1">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工会建设</w:t>
            </w:r>
          </w:p>
          <w:p w14:paraId="7E29D360">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7560" w:type="dxa"/>
            <w:vAlign w:val="center"/>
          </w:tcPr>
          <w:p w14:paraId="42A82358">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代理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机构</w:t>
            </w:r>
            <w:r>
              <w:rPr>
                <w:rFonts w:hint="eastAsia" w:ascii="宋体" w:hAnsi="宋体" w:eastAsia="宋体" w:cs="宋体"/>
                <w:color w:val="000000" w:themeColor="text1"/>
                <w:kern w:val="0"/>
                <w:sz w:val="24"/>
                <w:szCs w:val="24"/>
                <w:highlight w:val="none"/>
                <w14:textFill>
                  <w14:solidFill>
                    <w14:schemeClr w14:val="tx1"/>
                  </w14:solidFill>
                </w14:textFill>
              </w:rPr>
              <w:t>成立工会组织或联合成立工会组织的，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得1</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未成立</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的不得分。</w:t>
            </w:r>
          </w:p>
        </w:tc>
        <w:tc>
          <w:tcPr>
            <w:tcW w:w="1470" w:type="dxa"/>
            <w:vAlign w:val="center"/>
          </w:tcPr>
          <w:p w14:paraId="6D8B30EF">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09CDA996">
            <w:pPr>
              <w:keepNext w:val="0"/>
              <w:keepLines w:val="0"/>
              <w:pageBreakBefore w:val="0"/>
              <w:kinsoku/>
              <w:wordWrap/>
              <w:overflowPunct/>
              <w:topLinePunct w:val="0"/>
              <w:autoSpaceDE/>
              <w:autoSpaceDN/>
              <w:bidi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3EFF6255">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64CB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14:paraId="475C8795">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1050" w:type="dxa"/>
            <w:vMerge w:val="continue"/>
            <w:vAlign w:val="center"/>
          </w:tcPr>
          <w:p w14:paraId="53DAEA8C">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p>
        </w:tc>
        <w:tc>
          <w:tcPr>
            <w:tcW w:w="1440" w:type="dxa"/>
            <w:vAlign w:val="center"/>
          </w:tcPr>
          <w:p w14:paraId="31C95714">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发挥党建引领作用</w:t>
            </w:r>
          </w:p>
          <w:p w14:paraId="60154D9A">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7560" w:type="dxa"/>
            <w:vAlign w:val="center"/>
          </w:tcPr>
          <w:p w14:paraId="24408A59">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代理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机构</w:t>
            </w:r>
            <w:r>
              <w:rPr>
                <w:rFonts w:hint="eastAsia" w:ascii="宋体" w:hAnsi="宋体" w:eastAsia="宋体" w:cs="宋体"/>
                <w:color w:val="000000" w:themeColor="text1"/>
                <w:kern w:val="0"/>
                <w:sz w:val="24"/>
                <w:szCs w:val="24"/>
                <w:highlight w:val="none"/>
                <w14:textFill>
                  <w14:solidFill>
                    <w14:schemeClr w14:val="tx1"/>
                  </w14:solidFill>
                </w14:textFill>
              </w:rPr>
              <w:t>成立党组织，发挥党建引领作用，开展党建活动的，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得1分</w:t>
            </w:r>
            <w:r>
              <w:rPr>
                <w:rFonts w:hint="eastAsia" w:ascii="宋体" w:hAnsi="宋体" w:eastAsia="宋体" w:cs="宋体"/>
                <w:color w:val="000000" w:themeColor="text1"/>
                <w:kern w:val="0"/>
                <w:sz w:val="24"/>
                <w:szCs w:val="24"/>
                <w:highlight w:val="none"/>
                <w14:textFill>
                  <w14:solidFill>
                    <w14:schemeClr w14:val="tx1"/>
                  </w14:solidFill>
                </w14:textFill>
              </w:rPr>
              <w:t>；未成立党组织并开展活动的不</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3C0AF6DA">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13022BC6">
            <w:pPr>
              <w:keepNext w:val="0"/>
              <w:keepLines w:val="0"/>
              <w:pageBreakBefore w:val="0"/>
              <w:kinsoku/>
              <w:wordWrap/>
              <w:overflowPunct/>
              <w:topLinePunct w:val="0"/>
              <w:autoSpaceDE/>
              <w:autoSpaceDN/>
              <w:bidi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3697C243">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15AD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70" w:type="dxa"/>
            <w:vMerge w:val="continue"/>
            <w:vAlign w:val="center"/>
          </w:tcPr>
          <w:p w14:paraId="7AD4DC25">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1050" w:type="dxa"/>
            <w:vMerge w:val="continue"/>
            <w:vAlign w:val="center"/>
          </w:tcPr>
          <w:p w14:paraId="6A73E737">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p>
        </w:tc>
        <w:tc>
          <w:tcPr>
            <w:tcW w:w="1440" w:type="dxa"/>
            <w:vAlign w:val="center"/>
          </w:tcPr>
          <w:p w14:paraId="71C98608">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网站建设</w:t>
            </w:r>
          </w:p>
          <w:p w14:paraId="0A020EC0">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7560" w:type="dxa"/>
            <w:vAlign w:val="center"/>
          </w:tcPr>
          <w:p w14:paraId="52D1BD37">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代理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机构</w:t>
            </w:r>
            <w:r>
              <w:rPr>
                <w:rFonts w:hint="eastAsia" w:ascii="宋体" w:hAnsi="宋体" w:eastAsia="宋体" w:cs="宋体"/>
                <w:color w:val="000000" w:themeColor="text1"/>
                <w:kern w:val="0"/>
                <w:sz w:val="24"/>
                <w:szCs w:val="24"/>
                <w:highlight w:val="none"/>
                <w14:textFill>
                  <w14:solidFill>
                    <w14:schemeClr w14:val="tx1"/>
                  </w14:solidFill>
                </w14:textFill>
              </w:rPr>
              <w:t>建立了独立的门户网站，并持续维护更新的，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得1分</w:t>
            </w:r>
            <w:r>
              <w:rPr>
                <w:rFonts w:hint="eastAsia" w:ascii="宋体" w:hAnsi="宋体" w:eastAsia="宋体" w:cs="宋体"/>
                <w:color w:val="000000" w:themeColor="text1"/>
                <w:kern w:val="0"/>
                <w:sz w:val="24"/>
                <w:szCs w:val="24"/>
                <w:highlight w:val="none"/>
                <w14:textFill>
                  <w14:solidFill>
                    <w14:schemeClr w14:val="tx1"/>
                  </w14:solidFill>
                </w14:textFill>
              </w:rPr>
              <w:t>，未建立网站或未对网站进行维护更新的不</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5292D846">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7A2757D3">
            <w:pPr>
              <w:keepNext w:val="0"/>
              <w:keepLines w:val="0"/>
              <w:pageBreakBefore w:val="0"/>
              <w:kinsoku/>
              <w:wordWrap/>
              <w:overflowPunct/>
              <w:topLinePunct w:val="0"/>
              <w:autoSpaceDE/>
              <w:autoSpaceDN/>
              <w:bidi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28AB1724">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5E00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870" w:type="dxa"/>
            <w:vMerge w:val="restart"/>
            <w:vAlign w:val="center"/>
          </w:tcPr>
          <w:p w14:paraId="47D999C0">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w:t>
            </w:r>
          </w:p>
        </w:tc>
        <w:tc>
          <w:tcPr>
            <w:tcW w:w="1050" w:type="dxa"/>
            <w:vMerge w:val="restart"/>
            <w:vAlign w:val="center"/>
          </w:tcPr>
          <w:p w14:paraId="59BC6CA8">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业绩成果（</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1440" w:type="dxa"/>
            <w:vAlign w:val="center"/>
          </w:tcPr>
          <w:p w14:paraId="16019E2E">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业绩数量（</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7560" w:type="dxa"/>
            <w:vAlign w:val="center"/>
          </w:tcPr>
          <w:p w14:paraId="270FB7FE">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一年内在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项目所在地</w:t>
            </w:r>
            <w:r>
              <w:rPr>
                <w:rFonts w:hint="eastAsia" w:ascii="宋体" w:hAnsi="宋体" w:eastAsia="宋体" w:cs="宋体"/>
                <w:color w:val="000000" w:themeColor="text1"/>
                <w:kern w:val="0"/>
                <w:sz w:val="24"/>
                <w:szCs w:val="24"/>
                <w:highlight w:val="none"/>
                <w14:textFill>
                  <w14:solidFill>
                    <w14:schemeClr w14:val="tx1"/>
                  </w14:solidFill>
                </w14:textFill>
              </w:rPr>
              <w:t>交易中心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w:t>
            </w:r>
            <w:r>
              <w:rPr>
                <w:rFonts w:hint="eastAsia" w:ascii="宋体" w:hAnsi="宋体" w:eastAsia="宋体" w:cs="宋体"/>
                <w:color w:val="000000" w:themeColor="text1"/>
                <w:kern w:val="0"/>
                <w:sz w:val="24"/>
                <w:szCs w:val="24"/>
                <w:highlight w:val="none"/>
                <w14:textFill>
                  <w14:solidFill>
                    <w14:schemeClr w14:val="tx1"/>
                  </w14:solidFill>
                </w14:textFill>
              </w:rPr>
              <w:t>的项目数量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占总交易项目数量比重</w:t>
            </w:r>
            <w:r>
              <w:rPr>
                <w:rFonts w:hint="eastAsia" w:ascii="宋体" w:hAnsi="宋体" w:eastAsia="宋体" w:cs="宋体"/>
                <w:color w:val="000000" w:themeColor="text1"/>
                <w:kern w:val="0"/>
                <w:sz w:val="24"/>
                <w:szCs w:val="24"/>
                <w:highlight w:val="none"/>
                <w14:textFill>
                  <w14:solidFill>
                    <w14:schemeClr w14:val="tx1"/>
                  </w14:solidFill>
                </w14:textFill>
              </w:rPr>
              <w:t>（按照发出</w:t>
            </w:r>
            <w:r>
              <w:rPr>
                <w:rFonts w:hint="eastAsia" w:ascii="宋体" w:hAnsi="宋体" w:eastAsia="宋体" w:cs="宋体"/>
                <w:color w:val="000000" w:themeColor="text1"/>
                <w:kern w:val="0"/>
                <w:sz w:val="24"/>
                <w:szCs w:val="24"/>
                <w:highlight w:val="none"/>
                <w:lang w:val="en"/>
                <w14:textFill>
                  <w14:solidFill>
                    <w14:schemeClr w14:val="tx1"/>
                  </w14:solidFill>
                </w14:textFill>
              </w:rPr>
              <w:t>中标通知书</w:t>
            </w:r>
            <w:r>
              <w:rPr>
                <w:rFonts w:hint="eastAsia" w:ascii="宋体" w:hAnsi="宋体" w:eastAsia="宋体" w:cs="宋体"/>
                <w:color w:val="000000" w:themeColor="text1"/>
                <w:kern w:val="0"/>
                <w:sz w:val="24"/>
                <w:szCs w:val="24"/>
                <w:highlight w:val="none"/>
                <w14:textFill>
                  <w14:solidFill>
                    <w14:schemeClr w14:val="tx1"/>
                  </w14:solidFill>
                </w14:textFill>
              </w:rPr>
              <w:t>数量计算</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D</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评价年度内代理项目数量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/总项目数量×100%</w:t>
            </w:r>
            <w:r>
              <w:rPr>
                <w:rFonts w:hint="eastAsia" w:ascii="宋体" w:hAnsi="宋体" w:eastAsia="宋体" w:cs="宋体"/>
                <w:color w:val="000000" w:themeColor="text1"/>
                <w:kern w:val="0"/>
                <w:sz w:val="24"/>
                <w:szCs w:val="24"/>
                <w:highlight w:val="none"/>
                <w14:textFill>
                  <w14:solidFill>
                    <w14:schemeClr w14:val="tx1"/>
                  </w14:solidFill>
                </w14:textFill>
              </w:rPr>
              <w:t>），D≤</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5%得5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&lt;D≤</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10%得6</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&lt;D≤</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15%得7</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14:textFill>
                  <w14:solidFill>
                    <w14:schemeClr w14:val="tx1"/>
                  </w14:solidFill>
                </w14:textFill>
              </w:rPr>
              <w:t>&lt;D≤</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20%得8</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&lt;D≤</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25%得9</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kern w:val="0"/>
                <w:sz w:val="24"/>
                <w:szCs w:val="24"/>
                <w:highlight w:val="none"/>
                <w14:textFill>
                  <w14:solidFill>
                    <w14:schemeClr w14:val="tx1"/>
                  </w14:solidFill>
                </w14:textFill>
              </w:rPr>
              <w:t>&lt;D≤</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30%得10</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kern w:val="0"/>
                <w:sz w:val="24"/>
                <w:szCs w:val="24"/>
                <w:highlight w:val="none"/>
                <w14:textFill>
                  <w14:solidFill>
                    <w14:schemeClr w14:val="tx1"/>
                  </w14:solidFill>
                </w14:textFill>
              </w:rPr>
              <w:t>&lt;D≤</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35%得12</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宋体"/>
                <w:color w:val="000000" w:themeColor="text1"/>
                <w:kern w:val="0"/>
                <w:sz w:val="24"/>
                <w:szCs w:val="24"/>
                <w:highlight w:val="none"/>
                <w14:textFill>
                  <w14:solidFill>
                    <w14:schemeClr w14:val="tx1"/>
                  </w14:solidFill>
                </w14:textFill>
              </w:rPr>
              <w:t>&lt;D≤</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40%得14</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s="宋体"/>
                <w:color w:val="000000" w:themeColor="text1"/>
                <w:kern w:val="0"/>
                <w:sz w:val="24"/>
                <w:szCs w:val="24"/>
                <w:highlight w:val="none"/>
                <w14:textFill>
                  <w14:solidFill>
                    <w14:schemeClr w14:val="tx1"/>
                  </w14:solidFill>
                </w14:textFill>
              </w:rPr>
              <w:t>&lt;D≤</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45%得16</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45%</w:t>
            </w:r>
            <w:r>
              <w:rPr>
                <w:rFonts w:hint="eastAsia" w:ascii="宋体" w:hAnsi="宋体" w:eastAsia="宋体" w:cs="宋体"/>
                <w:color w:val="000000" w:themeColor="text1"/>
                <w:kern w:val="0"/>
                <w:sz w:val="24"/>
                <w:szCs w:val="24"/>
                <w:highlight w:val="none"/>
                <w14:textFill>
                  <w14:solidFill>
                    <w14:schemeClr w14:val="tx1"/>
                  </w14:solidFill>
                </w14:textFill>
              </w:rPr>
              <w:t>&lt;D≤</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50%得18</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kern w:val="0"/>
                <w:sz w:val="24"/>
                <w:szCs w:val="24"/>
                <w:highlight w:val="none"/>
                <w14:textFill>
                  <w14:solidFill>
                    <w14:schemeClr w14:val="tx1"/>
                  </w14:solidFill>
                </w14:textFill>
              </w:rPr>
              <w:t>&lt;D</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得20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534CBF41">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4E169B4D">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0CED7BC7">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559D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870" w:type="dxa"/>
            <w:vMerge w:val="continue"/>
            <w:vAlign w:val="center"/>
          </w:tcPr>
          <w:p w14:paraId="4864662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1050" w:type="dxa"/>
            <w:vMerge w:val="continue"/>
            <w:vAlign w:val="center"/>
          </w:tcPr>
          <w:p w14:paraId="0AF266DC">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p>
        </w:tc>
        <w:tc>
          <w:tcPr>
            <w:tcW w:w="1440" w:type="dxa"/>
            <w:vAlign w:val="center"/>
          </w:tcPr>
          <w:p w14:paraId="7B00E1D8">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中标金额</w:t>
            </w:r>
          </w:p>
          <w:p w14:paraId="47EAF26B">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7560" w:type="dxa"/>
            <w:vAlign w:val="center"/>
          </w:tcPr>
          <w:p w14:paraId="23D4551F">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一年内在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项目所在地</w:t>
            </w:r>
            <w:r>
              <w:rPr>
                <w:rFonts w:hint="eastAsia" w:ascii="宋体" w:hAnsi="宋体" w:eastAsia="宋体" w:cs="宋体"/>
                <w:color w:val="000000" w:themeColor="text1"/>
                <w:kern w:val="0"/>
                <w:sz w:val="24"/>
                <w:szCs w:val="24"/>
                <w:highlight w:val="none"/>
                <w14:textFill>
                  <w14:solidFill>
                    <w14:schemeClr w14:val="tx1"/>
                  </w14:solidFill>
                </w14:textFill>
              </w:rPr>
              <w:t>交易中心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w:t>
            </w:r>
            <w:r>
              <w:rPr>
                <w:rFonts w:hint="eastAsia" w:ascii="宋体" w:hAnsi="宋体" w:eastAsia="宋体" w:cs="宋体"/>
                <w:color w:val="000000" w:themeColor="text1"/>
                <w:kern w:val="0"/>
                <w:sz w:val="24"/>
                <w:szCs w:val="24"/>
                <w:highlight w:val="none"/>
                <w14:textFill>
                  <w14:solidFill>
                    <w14:schemeClr w14:val="tx1"/>
                  </w14:solidFill>
                </w14:textFill>
              </w:rPr>
              <w:t>的项目中标金额（按照发出中标通知书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kern w:val="0"/>
                <w:sz w:val="24"/>
                <w:szCs w:val="24"/>
                <w:highlight w:val="none"/>
                <w14:textFill>
                  <w14:solidFill>
                    <w14:schemeClr w14:val="tx1"/>
                  </w14:solidFill>
                </w14:textFill>
              </w:rPr>
              <w:t>成交通知书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中载明的金额</w:t>
            </w:r>
            <w:r>
              <w:rPr>
                <w:rFonts w:hint="eastAsia" w:ascii="宋体" w:hAnsi="宋体" w:eastAsia="宋体" w:cs="宋体"/>
                <w:color w:val="000000" w:themeColor="text1"/>
                <w:kern w:val="0"/>
                <w:sz w:val="24"/>
                <w:szCs w:val="24"/>
                <w:highlight w:val="none"/>
                <w14:textFill>
                  <w14:solidFill>
                    <w14:schemeClr w14:val="tx1"/>
                  </w14:solidFill>
                </w14:textFill>
              </w:rPr>
              <w:t>计算）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占总交易额比重计算，F=</w:t>
            </w:r>
            <w:r>
              <w:rPr>
                <w:rFonts w:hint="eastAsia" w:ascii="宋体" w:hAnsi="宋体" w:eastAsia="宋体" w:cs="宋体"/>
                <w:color w:val="000000" w:themeColor="text1"/>
                <w:kern w:val="0"/>
                <w:sz w:val="24"/>
                <w:szCs w:val="24"/>
                <w:highlight w:val="none"/>
                <w14:textFill>
                  <w14:solidFill>
                    <w14:schemeClr w14:val="tx1"/>
                  </w14:solidFill>
                </w14:textFill>
              </w:rPr>
              <w:t>评价年度内代理项目总中标金额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/总交易额×100%，F</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F</w:t>
            </w:r>
            <w:r>
              <w:rPr>
                <w:rFonts w:hint="eastAsia" w:ascii="宋体" w:hAnsi="宋体" w:eastAsia="宋体" w:cs="宋体"/>
                <w:color w:val="000000" w:themeColor="text1"/>
                <w:kern w:val="0"/>
                <w:sz w:val="24"/>
                <w:szCs w:val="24"/>
                <w:highlight w:val="none"/>
                <w14:textFill>
                  <w14:solidFill>
                    <w14:schemeClr w14:val="tx1"/>
                  </w14:solidFill>
                </w14:textFill>
              </w:rPr>
              <w:t>&lt;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50%，得4.5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F</w:t>
            </w:r>
            <w:r>
              <w:rPr>
                <w:rFonts w:hint="eastAsia" w:ascii="宋体" w:hAnsi="宋体" w:eastAsia="宋体" w:cs="宋体"/>
                <w:color w:val="000000" w:themeColor="text1"/>
                <w:kern w:val="0"/>
                <w:sz w:val="24"/>
                <w:szCs w:val="24"/>
                <w:highlight w:val="none"/>
                <w14:textFill>
                  <w14:solidFill>
                    <w14:schemeClr w14:val="tx1"/>
                  </w14:solidFill>
                </w14:textFill>
              </w:rPr>
              <w:t>&lt;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40%，得4</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F</w:t>
            </w:r>
            <w:r>
              <w:rPr>
                <w:rFonts w:hint="eastAsia" w:ascii="宋体" w:hAnsi="宋体" w:eastAsia="宋体" w:cs="宋体"/>
                <w:color w:val="000000" w:themeColor="text1"/>
                <w:kern w:val="0"/>
                <w:sz w:val="24"/>
                <w:szCs w:val="24"/>
                <w:highlight w:val="none"/>
                <w14:textFill>
                  <w14:solidFill>
                    <w14:schemeClr w14:val="tx1"/>
                  </w14:solidFill>
                </w14:textFill>
              </w:rPr>
              <w:t>&lt;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30%，得3.5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F</w:t>
            </w:r>
            <w:r>
              <w:rPr>
                <w:rFonts w:hint="eastAsia" w:ascii="宋体" w:hAnsi="宋体" w:eastAsia="宋体" w:cs="宋体"/>
                <w:color w:val="000000" w:themeColor="text1"/>
                <w:kern w:val="0"/>
                <w:sz w:val="24"/>
                <w:szCs w:val="24"/>
                <w:highlight w:val="none"/>
                <w14:textFill>
                  <w14:solidFill>
                    <w14:schemeClr w14:val="tx1"/>
                  </w14:solidFill>
                </w14:textFill>
              </w:rPr>
              <w:t>&lt;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20%，得3</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F</w:t>
            </w:r>
            <w:r>
              <w:rPr>
                <w:rFonts w:hint="eastAsia" w:ascii="宋体" w:hAnsi="宋体" w:eastAsia="宋体" w:cs="宋体"/>
                <w:color w:val="000000" w:themeColor="text1"/>
                <w:kern w:val="0"/>
                <w:sz w:val="24"/>
                <w:szCs w:val="24"/>
                <w:highlight w:val="none"/>
                <w14:textFill>
                  <w14:solidFill>
                    <w14:schemeClr w14:val="tx1"/>
                  </w14:solidFill>
                </w14:textFill>
              </w:rPr>
              <w:t>&lt;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10%得2.5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F</w:t>
            </w:r>
            <w:r>
              <w:rPr>
                <w:rFonts w:hint="eastAsia" w:ascii="宋体" w:hAnsi="宋体" w:eastAsia="宋体" w:cs="宋体"/>
                <w:color w:val="000000" w:themeColor="text1"/>
                <w:kern w:val="0"/>
                <w:sz w:val="24"/>
                <w:szCs w:val="24"/>
                <w:highlight w:val="none"/>
                <w14:textFill>
                  <w14:solidFill>
                    <w14:schemeClr w14:val="tx1"/>
                  </w14:solidFill>
                </w14:textFill>
              </w:rPr>
              <w:t>&lt;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5%，得1</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19C3938B">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727AC339">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17AC44E9">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0E30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70" w:type="dxa"/>
            <w:vAlign w:val="center"/>
          </w:tcPr>
          <w:p w14:paraId="2BB13DE7">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tc>
        <w:tc>
          <w:tcPr>
            <w:tcW w:w="1050" w:type="dxa"/>
            <w:vAlign w:val="center"/>
          </w:tcPr>
          <w:p w14:paraId="61AC428D">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440" w:type="dxa"/>
            <w:vAlign w:val="center"/>
          </w:tcPr>
          <w:p w14:paraId="5E1D21F4">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项目类型</w:t>
            </w:r>
          </w:p>
          <w:p w14:paraId="065C5E48">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（5分）</w:t>
            </w:r>
          </w:p>
        </w:tc>
        <w:tc>
          <w:tcPr>
            <w:tcW w:w="7560" w:type="dxa"/>
            <w:vAlign w:val="center"/>
          </w:tcPr>
          <w:p w14:paraId="2483E975">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一年内代理机构在公共资源交易中心代理项目的项目类型（</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1.工程建设：</w:t>
            </w:r>
            <w:r>
              <w:rPr>
                <w:rFonts w:hint="eastAsia" w:ascii="宋体" w:hAnsi="宋体" w:eastAsia="宋体" w:cs="宋体"/>
                <w:color w:val="000000" w:themeColor="text1"/>
                <w:kern w:val="0"/>
                <w:sz w:val="24"/>
                <w:szCs w:val="24"/>
                <w:highlight w:val="none"/>
                <w14:textFill>
                  <w14:solidFill>
                    <w14:schemeClr w14:val="tx1"/>
                  </w14:solidFill>
                </w14:textFill>
              </w:rPr>
              <w:t>房屋建筑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市政</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公路</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铁路</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民航</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水运</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水利</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能源</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邮电通信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桥梁</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城市轨道</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矿产冶金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信息网络</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工业制造</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、其他；</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2.政府采购：货物、工程和服务；3.其他：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药品、</w:t>
            </w:r>
            <w:r>
              <w:rPr>
                <w:rFonts w:hint="eastAsia" w:ascii="宋体" w:hAnsi="宋体" w:eastAsia="宋体" w:cs="宋体"/>
                <w:color w:val="000000" w:themeColor="text1"/>
                <w:kern w:val="0"/>
                <w:sz w:val="24"/>
                <w:szCs w:val="24"/>
                <w:highlight w:val="none"/>
                <w14:textFill>
                  <w14:solidFill>
                    <w14:schemeClr w14:val="tx1"/>
                  </w14:solidFill>
                </w14:textFill>
              </w:rPr>
              <w:t>医疗、物业、保险</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等</w:t>
            </w:r>
            <w:r>
              <w:rPr>
                <w:rFonts w:hint="eastAsia" w:ascii="宋体" w:hAnsi="宋体" w:eastAsia="宋体" w:cs="宋体"/>
                <w:color w:val="000000" w:themeColor="text1"/>
                <w:kern w:val="0"/>
                <w:sz w:val="24"/>
                <w:szCs w:val="24"/>
                <w:highlight w:val="none"/>
                <w14:textFill>
                  <w14:solidFill>
                    <w14:schemeClr w14:val="tx1"/>
                  </w14:solidFill>
                </w14:textFill>
              </w:rPr>
              <w:t>），代理项目类型数≥10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kern w:val="0"/>
                <w:sz w:val="24"/>
                <w:szCs w:val="24"/>
                <w:highlight w:val="none"/>
                <w14:textFill>
                  <w14:solidFill>
                    <w14:schemeClr w14:val="tx1"/>
                  </w14:solidFill>
                </w14:textFill>
              </w:rPr>
              <w:t>5分，8≤代理项目类型数&lt;10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kern w:val="0"/>
                <w:sz w:val="24"/>
                <w:szCs w:val="24"/>
                <w:highlight w:val="none"/>
                <w14:textFill>
                  <w14:solidFill>
                    <w14:schemeClr w14:val="tx1"/>
                  </w14:solidFill>
                </w14:textFill>
              </w:rPr>
              <w:t>4分，6≤代理项目类型数&lt;8</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kern w:val="0"/>
                <w:sz w:val="24"/>
                <w:szCs w:val="24"/>
                <w:highlight w:val="none"/>
                <w14:textFill>
                  <w14:solidFill>
                    <w14:schemeClr w14:val="tx1"/>
                  </w14:solidFill>
                </w14:textFill>
              </w:rPr>
              <w:t>3.5分，4≤代理项目类型数&lt;6</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kern w:val="0"/>
                <w:sz w:val="24"/>
                <w:szCs w:val="24"/>
                <w:highlight w:val="none"/>
                <w14:textFill>
                  <w14:solidFill>
                    <w14:schemeClr w14:val="tx1"/>
                  </w14:solidFill>
                </w14:textFill>
              </w:rPr>
              <w:t>3分，2≤代理项目类型数&lt;4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kern w:val="0"/>
                <w:sz w:val="24"/>
                <w:szCs w:val="24"/>
                <w:highlight w:val="none"/>
                <w14:textFill>
                  <w14:solidFill>
                    <w14:schemeClr w14:val="tx1"/>
                  </w14:solidFill>
                </w14:textFill>
              </w:rPr>
              <w:t>2.5分，代理项目类型数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kern w:val="0"/>
                <w:sz w:val="24"/>
                <w:szCs w:val="24"/>
                <w:highlight w:val="none"/>
                <w14:textFill>
                  <w14:solidFill>
                    <w14:schemeClr w14:val="tx1"/>
                  </w14:solidFill>
                </w14:textFill>
              </w:rPr>
              <w:t>2分。</w:t>
            </w:r>
          </w:p>
        </w:tc>
        <w:tc>
          <w:tcPr>
            <w:tcW w:w="1470" w:type="dxa"/>
            <w:vAlign w:val="center"/>
          </w:tcPr>
          <w:p w14:paraId="4C6765CE">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1A35280C">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4E7E4F80">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6AC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70" w:type="dxa"/>
            <w:vAlign w:val="center"/>
          </w:tcPr>
          <w:p w14:paraId="0200999C">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w:t>
            </w:r>
          </w:p>
        </w:tc>
        <w:tc>
          <w:tcPr>
            <w:tcW w:w="1050" w:type="dxa"/>
            <w:vAlign w:val="center"/>
          </w:tcPr>
          <w:p w14:paraId="4A43FBE6">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主体评价（</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1440" w:type="dxa"/>
            <w:vAlign w:val="center"/>
          </w:tcPr>
          <w:p w14:paraId="75BA59C1">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项目单位评价</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7560" w:type="dxa"/>
            <w:vAlign w:val="center"/>
          </w:tcPr>
          <w:p w14:paraId="48C8B12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项目单位</w:t>
            </w:r>
            <w:r>
              <w:rPr>
                <w:rFonts w:hint="eastAsia" w:ascii="宋体" w:hAnsi="宋体" w:eastAsia="宋体" w:cs="宋体"/>
                <w:color w:val="000000" w:themeColor="text1"/>
                <w:kern w:val="0"/>
                <w:sz w:val="24"/>
                <w:szCs w:val="24"/>
                <w:highlight w:val="none"/>
                <w14:textFill>
                  <w14:solidFill>
                    <w14:schemeClr w14:val="tx1"/>
                  </w14:solidFill>
                </w14:textFill>
              </w:rPr>
              <w:t>对委托代理服务项目整体满意度（代理服务水平、编制交易文件的质量、对项目进行分析和研究、对专用合同条款的合理设定等内容）进行综合评价。非常满意得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满意得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较满意得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一般得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不满意得0分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4272535C">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242D08AF">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5C261AC4">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取</w:t>
            </w:r>
            <w:r>
              <w:rPr>
                <w:rFonts w:hint="eastAsia" w:ascii="宋体" w:hAnsi="宋体" w:eastAsia="宋体" w:cs="宋体"/>
                <w:color w:val="000000" w:themeColor="text1"/>
                <w:kern w:val="0"/>
                <w:sz w:val="24"/>
                <w:szCs w:val="24"/>
                <w:highlight w:val="none"/>
                <w14:textFill>
                  <w14:solidFill>
                    <w14:schemeClr w14:val="tx1"/>
                  </w14:solidFill>
                </w14:textFill>
              </w:rPr>
              <w:t>评价周期内所有代理服务项目的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项目单位</w:t>
            </w:r>
            <w:r>
              <w:rPr>
                <w:rFonts w:hint="eastAsia" w:ascii="宋体" w:hAnsi="宋体" w:eastAsia="宋体" w:cs="宋体"/>
                <w:color w:val="000000" w:themeColor="text1"/>
                <w:kern w:val="0"/>
                <w:sz w:val="24"/>
                <w:szCs w:val="24"/>
                <w:highlight w:val="none"/>
                <w14:textFill>
                  <w14:solidFill>
                    <w14:schemeClr w14:val="tx1"/>
                  </w14:solidFill>
                </w14:textFill>
              </w:rPr>
              <w:t>评价分的平均分，保留</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位小数</w:t>
            </w:r>
          </w:p>
        </w:tc>
      </w:tr>
      <w:tr w14:paraId="6014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870" w:type="dxa"/>
            <w:vAlign w:val="center"/>
          </w:tcPr>
          <w:p w14:paraId="0DD6435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w:t>
            </w:r>
          </w:p>
        </w:tc>
        <w:tc>
          <w:tcPr>
            <w:tcW w:w="1050" w:type="dxa"/>
            <w:vAlign w:val="center"/>
          </w:tcPr>
          <w:p w14:paraId="53B640B1">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服务质量（</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分）</w:t>
            </w:r>
          </w:p>
        </w:tc>
        <w:tc>
          <w:tcPr>
            <w:tcW w:w="1440" w:type="dxa"/>
            <w:vAlign w:val="center"/>
          </w:tcPr>
          <w:p w14:paraId="18035643">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退回办理情况（</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分）</w:t>
            </w:r>
          </w:p>
        </w:tc>
        <w:tc>
          <w:tcPr>
            <w:tcW w:w="7560" w:type="dxa"/>
            <w:vAlign w:val="center"/>
          </w:tcPr>
          <w:p w14:paraId="6C6BF9BE">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根据交易系统统计的代理机构所代理项目因代理机构原因在项目注册、公告发布、场地申请、评委会组建、候选人公示、中标通知书发放、保证金退还、合同备案等各交易环节退回办理次数和</w:t>
            </w:r>
            <w:r>
              <w:rPr>
                <w:rFonts w:hint="eastAsia" w:ascii="宋体" w:hAnsi="宋体" w:eastAsia="宋体" w:cs="宋体"/>
                <w:color w:val="000000" w:themeColor="text1"/>
                <w:sz w:val="24"/>
                <w:szCs w:val="24"/>
                <w:highlight w:val="none"/>
                <w:lang w:eastAsia="zh-CN"/>
                <w14:textFill>
                  <w14:solidFill>
                    <w14:schemeClr w14:val="tx1"/>
                  </w14:solidFill>
                </w14:textFill>
              </w:rPr>
              <w:t>总业务次数</w:t>
            </w:r>
            <w:r>
              <w:rPr>
                <w:rFonts w:hint="eastAsia" w:ascii="宋体" w:hAnsi="宋体" w:eastAsia="宋体" w:cs="宋体"/>
                <w:color w:val="000000" w:themeColor="text1"/>
                <w:sz w:val="24"/>
                <w:szCs w:val="24"/>
                <w:highlight w:val="none"/>
                <w14:textFill>
                  <w14:solidFill>
                    <w14:schemeClr w14:val="tx1"/>
                  </w14:solidFill>
                </w14:textFill>
              </w:rPr>
              <w:t>计算本项得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14:textFill>
                  <w14:solidFill>
                    <w14:schemeClr w14:val="tx1"/>
                  </w14:solidFill>
                </w14:textFill>
              </w:rPr>
              <w:t xml:space="preserve"> (注：</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14:textFill>
                  <w14:solidFill>
                    <w14:schemeClr w14:val="tx1"/>
                  </w14:solidFill>
                </w14:textFill>
              </w:rPr>
              <w:t xml:space="preserve"> &lt;0时，</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14:textFill>
                  <w14:solidFill>
                    <w14:schemeClr w14:val="tx1"/>
                  </w14:solidFill>
                </w14:textFill>
              </w:rPr>
              <w:t xml:space="preserve"> 取值为0):</w:t>
            </w:r>
          </w:p>
          <w:p w14:paraId="5DC96B5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-退回办理次数/总业务次数×</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 </w:t>
            </w:r>
          </w:p>
        </w:tc>
        <w:tc>
          <w:tcPr>
            <w:tcW w:w="1470" w:type="dxa"/>
            <w:vAlign w:val="center"/>
          </w:tcPr>
          <w:p w14:paraId="71DE90AA">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4DC6D77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50B4F29D">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2D0E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70" w:type="dxa"/>
            <w:vMerge w:val="restart"/>
            <w:vAlign w:val="center"/>
          </w:tcPr>
          <w:p w14:paraId="5D22976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p>
        </w:tc>
        <w:tc>
          <w:tcPr>
            <w:tcW w:w="1050" w:type="dxa"/>
            <w:vMerge w:val="restart"/>
            <w:vAlign w:val="center"/>
          </w:tcPr>
          <w:p w14:paraId="0EDB25B2">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不良行为信息   （25分，扣完为止）</w:t>
            </w:r>
          </w:p>
        </w:tc>
        <w:tc>
          <w:tcPr>
            <w:tcW w:w="1440" w:type="dxa"/>
            <w:vMerge w:val="restart"/>
            <w:vAlign w:val="center"/>
          </w:tcPr>
          <w:p w14:paraId="3110B9C5">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前期工作</w:t>
            </w:r>
          </w:p>
        </w:tc>
        <w:tc>
          <w:tcPr>
            <w:tcW w:w="7560" w:type="dxa"/>
            <w:vAlign w:val="center"/>
          </w:tcPr>
          <w:p w14:paraId="64375026">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1.未在交易中心完成进场登记，或企业信息变动后不及时变更登记的，一次扣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09EFD50E">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28C7F52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p w14:paraId="1A12934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665" w:type="dxa"/>
            <w:vAlign w:val="center"/>
          </w:tcPr>
          <w:p w14:paraId="2AEEEBA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239C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70" w:type="dxa"/>
            <w:vMerge w:val="continue"/>
            <w:vAlign w:val="center"/>
          </w:tcPr>
          <w:p w14:paraId="1AFA543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050" w:type="dxa"/>
            <w:vMerge w:val="continue"/>
            <w:vAlign w:val="center"/>
          </w:tcPr>
          <w:p w14:paraId="43C490B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440" w:type="dxa"/>
            <w:vMerge w:val="continue"/>
            <w:vAlign w:val="center"/>
          </w:tcPr>
          <w:p w14:paraId="0003401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7560" w:type="dxa"/>
            <w:vAlign w:val="center"/>
          </w:tcPr>
          <w:p w14:paraId="3110495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2.未按要求签订代理合同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的</w:t>
            </w:r>
            <w:r>
              <w:rPr>
                <w:rFonts w:hint="eastAsia" w:ascii="宋体" w:hAnsi="宋体" w:eastAsia="宋体" w:cs="宋体"/>
                <w:color w:val="000000" w:themeColor="text1"/>
                <w:kern w:val="0"/>
                <w:sz w:val="24"/>
                <w:szCs w:val="24"/>
                <w:highlight w:val="none"/>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3E2D8697">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3D3C6FD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756E8DE0">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E16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70" w:type="dxa"/>
            <w:vMerge w:val="continue"/>
            <w:vAlign w:val="center"/>
          </w:tcPr>
          <w:p w14:paraId="10FF771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050" w:type="dxa"/>
            <w:vMerge w:val="continue"/>
            <w:vAlign w:val="center"/>
          </w:tcPr>
          <w:p w14:paraId="75668E7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440" w:type="dxa"/>
            <w:vMerge w:val="continue"/>
            <w:vAlign w:val="center"/>
          </w:tcPr>
          <w:p w14:paraId="677F166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560" w:type="dxa"/>
            <w:vAlign w:val="center"/>
          </w:tcPr>
          <w:p w14:paraId="3B33AAD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3.未协助项目单位进行项目注册，导致项目登记时前期资料不完善、字段信息填写错误，</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经一次性告知后仍不改正的，</w:t>
            </w:r>
            <w:r>
              <w:rPr>
                <w:rFonts w:hint="eastAsia" w:ascii="宋体" w:hAnsi="宋体" w:eastAsia="宋体" w:cs="宋体"/>
                <w:color w:val="000000" w:themeColor="text1"/>
                <w:kern w:val="0"/>
                <w:sz w:val="24"/>
                <w:szCs w:val="24"/>
                <w:highlight w:val="none"/>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27518CBB">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4C33B0D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107D8939">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628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651BF55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050" w:type="dxa"/>
            <w:vMerge w:val="continue"/>
            <w:vAlign w:val="center"/>
          </w:tcPr>
          <w:p w14:paraId="3BB7C6D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440" w:type="dxa"/>
            <w:vMerge w:val="restart"/>
            <w:vAlign w:val="center"/>
          </w:tcPr>
          <w:p w14:paraId="29DD637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文件制作与发布</w:t>
            </w:r>
          </w:p>
        </w:tc>
        <w:tc>
          <w:tcPr>
            <w:tcW w:w="7560" w:type="dxa"/>
            <w:vAlign w:val="center"/>
          </w:tcPr>
          <w:p w14:paraId="34D8E72A">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.未按监管部门规定发布</w:t>
            </w:r>
            <w:r>
              <w:rPr>
                <w:rFonts w:hint="eastAsia" w:ascii="宋体" w:hAnsi="宋体" w:eastAsia="宋体" w:cs="宋体"/>
                <w:color w:val="000000" w:themeColor="text1"/>
                <w:kern w:val="0"/>
                <w:sz w:val="24"/>
                <w:szCs w:val="24"/>
                <w:highlight w:val="none"/>
                <w:lang w:val="e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公告、</w:t>
            </w:r>
            <w:r>
              <w:rPr>
                <w:rFonts w:hint="eastAsia" w:ascii="宋体" w:hAnsi="宋体" w:eastAsia="宋体" w:cs="宋体"/>
                <w:color w:val="000000" w:themeColor="text1"/>
                <w:kern w:val="0"/>
                <w:sz w:val="24"/>
                <w:szCs w:val="24"/>
                <w:highlight w:val="none"/>
                <w:lang w:val="e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文件、澄清/更正公告等的，一次扣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6045FCD0">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68214A4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307BADAF">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74E4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2A11C37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050" w:type="dxa"/>
            <w:vMerge w:val="continue"/>
            <w:vAlign w:val="center"/>
          </w:tcPr>
          <w:p w14:paraId="72E8EE4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440" w:type="dxa"/>
            <w:vMerge w:val="continue"/>
            <w:vAlign w:val="center"/>
          </w:tcPr>
          <w:p w14:paraId="327D7EE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7560" w:type="dxa"/>
            <w:vAlign w:val="center"/>
          </w:tcPr>
          <w:p w14:paraId="51F704C4">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未按规定时间发布工程量清单、招标控制价、采购需求的，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1F02DAD4">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76858FD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7A4941EB">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25D9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20D6215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24E9149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40A9C9A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03B865DC">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.资格预审文件或</w:t>
            </w:r>
            <w:r>
              <w:rPr>
                <w:rFonts w:hint="eastAsia" w:ascii="宋体" w:hAnsi="宋体" w:eastAsia="宋体" w:cs="宋体"/>
                <w:color w:val="000000" w:themeColor="text1"/>
                <w:kern w:val="0"/>
                <w:sz w:val="24"/>
                <w:szCs w:val="24"/>
                <w:highlight w:val="none"/>
                <w:lang w:val="e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文件发售时间不符合规定的，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5A6C8D9F">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13EE9F4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68BCBA48">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756F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3A5F5F3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271C5E5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1F90810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46062946">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公告、</w:t>
            </w:r>
            <w:r>
              <w:rPr>
                <w:rFonts w:hint="eastAsia" w:ascii="宋体" w:hAnsi="宋体" w:eastAsia="宋体" w:cs="宋体"/>
                <w:color w:val="000000" w:themeColor="text1"/>
                <w:kern w:val="0"/>
                <w:sz w:val="24"/>
                <w:szCs w:val="24"/>
                <w:highlight w:val="none"/>
                <w:lang w:val="e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文件、澄清/更正公告信息发布出现错误的，一次扣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760FCB6E">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42474D4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1ECB524C">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F7D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21E3B8CC">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7352BFB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44E928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6639D249">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未按照法律法规和公共资源交易行政</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监管</w:t>
            </w:r>
            <w:r>
              <w:rPr>
                <w:rFonts w:hint="eastAsia" w:ascii="宋体" w:hAnsi="宋体" w:eastAsia="宋体" w:cs="宋体"/>
                <w:color w:val="000000" w:themeColor="text1"/>
                <w:kern w:val="0"/>
                <w:sz w:val="24"/>
                <w:szCs w:val="24"/>
                <w:highlight w:val="none"/>
                <w14:textFill>
                  <w14:solidFill>
                    <w14:schemeClr w14:val="tx1"/>
                  </w14:solidFill>
                </w14:textFill>
              </w:rPr>
              <w:t>部门要求使用交易文件范本的，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4E450304">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6FC4364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593E8F66">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7BD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6A913FF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4335CAD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1AED96D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42D20484">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对已发出的资格预审文件或者招标文件进行必要的澄清或者修改，澄清或者修改的内容可能影响资格预审申请文件或者投标文件编制、提交资格预审申请文件截止时间不足3日或者投标截止时间不足15日且不相应延期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7D284F3C">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1B79DE0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0FFED00F">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0176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54177AD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3C643EC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37F37B7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6778D38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lang w:val="e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文件、澄清或更正等资料编制不严谨、前后条款互相矛盾引发争议且经查实的，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1063366D">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56146E9C">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3DA2F0B7">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EB5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542258A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6516C8F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BD4CB9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12AA6776">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.在</w:t>
            </w:r>
            <w:r>
              <w:rPr>
                <w:rFonts w:hint="eastAsia" w:ascii="宋体" w:hAnsi="宋体" w:eastAsia="宋体" w:cs="宋体"/>
                <w:color w:val="000000" w:themeColor="text1"/>
                <w:kern w:val="0"/>
                <w:sz w:val="24"/>
                <w:szCs w:val="24"/>
                <w:highlight w:val="none"/>
                <w:lang w:val="e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公告或</w:t>
            </w:r>
            <w:r>
              <w:rPr>
                <w:rFonts w:hint="eastAsia" w:ascii="宋体" w:hAnsi="宋体" w:eastAsia="宋体" w:cs="宋体"/>
                <w:color w:val="000000" w:themeColor="text1"/>
                <w:kern w:val="0"/>
                <w:sz w:val="24"/>
                <w:szCs w:val="24"/>
                <w:highlight w:val="none"/>
                <w:lang w:val="e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文件中以不合理的条件限制或者排斥潜在投标人的，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lang w:val="en"/>
                <w14:textFill>
                  <w14:solidFill>
                    <w14:schemeClr w14:val="tx1"/>
                  </w14:solidFill>
                </w14:textFill>
              </w:rPr>
              <w:t>分</w:t>
            </w: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470" w:type="dxa"/>
            <w:shd w:val="clear" w:color="auto" w:fill="auto"/>
            <w:vAlign w:val="center"/>
          </w:tcPr>
          <w:p w14:paraId="0A12FD1B">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shd w:val="clear" w:color="auto" w:fill="auto"/>
            <w:vAlign w:val="center"/>
          </w:tcPr>
          <w:p w14:paraId="0D13D68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0338673E">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5AF1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52F2F8A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5726961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restart"/>
            <w:vAlign w:val="center"/>
          </w:tcPr>
          <w:p w14:paraId="3F6A1963">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开评标现场管理</w:t>
            </w:r>
          </w:p>
          <w:p w14:paraId="78E08B5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4C10371F">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1.在组织开评标活动中，代理机构从业人员未按时到达或提前离场，影响正常开评标的，一次扣2分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40ED1508">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38B80FC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07E36928">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77E4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65AAC4B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050" w:type="dxa"/>
            <w:vMerge w:val="continue"/>
            <w:vAlign w:val="center"/>
          </w:tcPr>
          <w:p w14:paraId="7E4C38A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440" w:type="dxa"/>
            <w:vMerge w:val="continue"/>
            <w:vAlign w:val="center"/>
          </w:tcPr>
          <w:p w14:paraId="6305D3A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7560" w:type="dxa"/>
            <w:vAlign w:val="center"/>
          </w:tcPr>
          <w:p w14:paraId="50E0ECBA">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2.代理机构从业人员无正当理由随意进出评标室，或不服从交易中心工作协调管理、扰乱交易活动秩序的，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14:textFill>
                  <w14:solidFill>
                    <w14:schemeClr w14:val="tx1"/>
                  </w14:solidFill>
                </w14:textFill>
              </w:rPr>
              <w:t>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65F47C82">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12E84E4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25CFF87F">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6B1B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1733D0D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7DE05CE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6267B92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37F3B6E8">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3.进场的项目组成员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未在首次登记中列明的，一次</w:t>
            </w:r>
            <w:r>
              <w:rPr>
                <w:rFonts w:hint="eastAsia" w:ascii="宋体" w:hAnsi="宋体" w:eastAsia="宋体" w:cs="宋体"/>
                <w:color w:val="000000" w:themeColor="text1"/>
                <w:kern w:val="0"/>
                <w:sz w:val="24"/>
                <w:szCs w:val="24"/>
                <w:highlight w:val="none"/>
                <w14:textFill>
                  <w14:solidFill>
                    <w14:schemeClr w14:val="tx1"/>
                  </w14:solidFill>
                </w14:textFill>
              </w:rPr>
              <w:t>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45E10C09">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6942DE1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2D9DF74B">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1995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4082196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619C31D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EEA8DB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19B237A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4.开标评标准备工作不充分或者组织程序混乱，对招投标活动产生不良影响的，一次扣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4974BBCA">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50F8A49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6DEB9F1B">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2C47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026433B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470868D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7FCC796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1F951815">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5.未按规定程序组织招标投标活动或评标结束后不向电子服务系统提交开标、评标情况的，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14:textFill>
                  <w14:solidFill>
                    <w14:schemeClr w14:val="tx1"/>
                  </w14:solidFill>
                </w14:textFill>
              </w:rPr>
              <w:t>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5F13D898">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0D3E754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549B6CCC">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572B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0023DA3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520D61DC">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0F4962B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6D4486E4">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6.未按规定提交专家抽取申请，或者申请中未明确回避条件，影响评标工作正常开展的，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14:textFill>
                  <w14:solidFill>
                    <w14:schemeClr w14:val="tx1"/>
                  </w14:solidFill>
                </w14:textFill>
              </w:rPr>
              <w:t>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627D6B7E">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155DDD9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1A3BA30F">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E6D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57961C6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2CBA513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61B33C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7914C02F">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7.代理机构从业人员开评标工作期间串岗聊天、做与工作无关事情的，一次扣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5A4ED7F6">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464358EF">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64093069">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59C4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1426A91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68DAC84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BAC92D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1678F104">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.未及时向管理部门反映在开评标过程中可能影响交易活动正常开展有关问题的，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14:textFill>
                  <w14:solidFill>
                    <w14:schemeClr w14:val="tx1"/>
                  </w14:solidFill>
                </w14:textFill>
              </w:rPr>
              <w:t>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245259D2">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500EB228">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5AD70F0D">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18FB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17A44BA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05D4E94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1627C9B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464BB8F0">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9.未按照规定及时足额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或违法</w:t>
            </w:r>
            <w:r>
              <w:rPr>
                <w:rFonts w:hint="eastAsia" w:ascii="宋体" w:hAnsi="宋体" w:eastAsia="宋体" w:cs="宋体"/>
                <w:color w:val="000000" w:themeColor="text1"/>
                <w:kern w:val="0"/>
                <w:sz w:val="24"/>
                <w:szCs w:val="24"/>
                <w:highlight w:val="none"/>
                <w14:textFill>
                  <w14:solidFill>
                    <w14:schemeClr w14:val="tx1"/>
                  </w14:solidFill>
                </w14:textFill>
              </w:rPr>
              <w:t>发放评标评审费用的，一次扣5分。</w:t>
            </w:r>
          </w:p>
        </w:tc>
        <w:tc>
          <w:tcPr>
            <w:tcW w:w="1470" w:type="dxa"/>
            <w:vAlign w:val="center"/>
          </w:tcPr>
          <w:p w14:paraId="5153B46D">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3FF70A7F">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32D1583E">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1525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0AC89B2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03343F1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5A7D6C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5B6E6059">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10.进场的项目组成人员不属于事先</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登记</w:t>
            </w:r>
            <w:r>
              <w:rPr>
                <w:rFonts w:hint="eastAsia" w:ascii="宋体" w:hAnsi="宋体" w:eastAsia="宋体" w:cs="宋体"/>
                <w:color w:val="000000" w:themeColor="text1"/>
                <w:kern w:val="0"/>
                <w:sz w:val="24"/>
                <w:szCs w:val="24"/>
                <w:highlight w:val="none"/>
                <w14:textFill>
                  <w14:solidFill>
                    <w14:schemeClr w14:val="tx1"/>
                  </w14:solidFill>
                </w14:textFill>
              </w:rPr>
              <w:t>的人员的（以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登记</w:t>
            </w:r>
            <w:r>
              <w:rPr>
                <w:rFonts w:hint="eastAsia" w:ascii="宋体" w:hAnsi="宋体" w:eastAsia="宋体" w:cs="宋体"/>
                <w:color w:val="000000" w:themeColor="text1"/>
                <w:kern w:val="0"/>
                <w:sz w:val="24"/>
                <w:szCs w:val="24"/>
                <w:highlight w:val="none"/>
                <w14:textFill>
                  <w14:solidFill>
                    <w14:schemeClr w14:val="tx1"/>
                  </w14:solidFill>
                </w14:textFill>
              </w:rPr>
              <w:t>的人员为准；若有变更，应在开标前提供招标人同意变更的证明材料），一次扣5分。</w:t>
            </w:r>
          </w:p>
        </w:tc>
        <w:tc>
          <w:tcPr>
            <w:tcW w:w="1470" w:type="dxa"/>
            <w:vAlign w:val="center"/>
          </w:tcPr>
          <w:p w14:paraId="186780CC">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10512E74">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5C1B6B16">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7FFA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4AFAA14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0D0D39B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6FCAAFF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1141F9EB">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kern w:val="0"/>
                <w:sz w:val="24"/>
                <w:szCs w:val="24"/>
                <w:highlight w:val="none"/>
                <w14:textFill>
                  <w14:solidFill>
                    <w14:schemeClr w14:val="tx1"/>
                  </w14:solidFill>
                </w14:textFill>
              </w:rPr>
              <w:t>.未按照规定及时上报或瞒报招标人、投标人、评标专家在交易活动中违法违规行为的，一次扣5分。</w:t>
            </w:r>
          </w:p>
        </w:tc>
        <w:tc>
          <w:tcPr>
            <w:tcW w:w="1470" w:type="dxa"/>
            <w:vAlign w:val="center"/>
          </w:tcPr>
          <w:p w14:paraId="7E58B117">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40DC1D19">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1699ABF8">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26DD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70" w:type="dxa"/>
            <w:vMerge w:val="continue"/>
            <w:vAlign w:val="center"/>
          </w:tcPr>
          <w:p w14:paraId="33429B0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468A1F8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66E1AFA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1421C436">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12.未经允许私自携带通讯工具和设备进入评标区的，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7624BAE3">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7F972473">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7D800749">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79D3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0" w:type="dxa"/>
            <w:vMerge w:val="continue"/>
            <w:vAlign w:val="center"/>
          </w:tcPr>
          <w:p w14:paraId="2974BDEC">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0276042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restart"/>
            <w:vAlign w:val="center"/>
          </w:tcPr>
          <w:p w14:paraId="59CF6A6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标后管理</w:t>
            </w:r>
          </w:p>
        </w:tc>
        <w:tc>
          <w:tcPr>
            <w:tcW w:w="7560" w:type="dxa"/>
            <w:vAlign w:val="center"/>
          </w:tcPr>
          <w:p w14:paraId="564AE3B1">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.因代理机构原因，未按规定及时办理保证金退还手续、保证金退还出现错误的，一次扣2分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4FBC6382">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17EBBBA6">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0FFA8E96">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0DE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0" w:type="dxa"/>
            <w:vMerge w:val="continue"/>
            <w:vAlign w:val="center"/>
          </w:tcPr>
          <w:p w14:paraId="78CDAE7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050" w:type="dxa"/>
            <w:vMerge w:val="continue"/>
            <w:vAlign w:val="center"/>
          </w:tcPr>
          <w:p w14:paraId="2196B65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440" w:type="dxa"/>
            <w:vMerge w:val="continue"/>
            <w:vAlign w:val="center"/>
          </w:tcPr>
          <w:p w14:paraId="1039E2C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7560" w:type="dxa"/>
            <w:vAlign w:val="center"/>
          </w:tcPr>
          <w:p w14:paraId="637A1E81">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
                <w14:textFill>
                  <w14:solidFill>
                    <w14:schemeClr w14:val="tx1"/>
                  </w14:solidFill>
                </w14:textFill>
              </w:rPr>
              <w:t>中</w:t>
            </w:r>
            <w:r>
              <w:rPr>
                <w:rFonts w:hint="eastAsia" w:ascii="宋体" w:hAnsi="宋体" w:eastAsia="宋体" w:cs="宋体"/>
                <w:color w:val="000000" w:themeColor="text1"/>
                <w:kern w:val="0"/>
                <w:sz w:val="24"/>
                <w:szCs w:val="24"/>
                <w:highlight w:val="none"/>
                <w14:textFill>
                  <w14:solidFill>
                    <w14:schemeClr w14:val="tx1"/>
                  </w14:solidFill>
                </w14:textFill>
              </w:rPr>
              <w:t>标(成交)通知书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发放</w:t>
            </w:r>
            <w:r>
              <w:rPr>
                <w:rFonts w:hint="eastAsia" w:ascii="宋体" w:hAnsi="宋体" w:eastAsia="宋体" w:cs="宋体"/>
                <w:color w:val="000000" w:themeColor="text1"/>
                <w:kern w:val="0"/>
                <w:sz w:val="24"/>
                <w:szCs w:val="24"/>
                <w:highlight w:val="none"/>
                <w14:textFill>
                  <w14:solidFill>
                    <w14:schemeClr w14:val="tx1"/>
                  </w14:solidFill>
                </w14:textFill>
              </w:rPr>
              <w:t>时发现存在与中标(成交)结果、</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交易</w:t>
            </w:r>
            <w:r>
              <w:rPr>
                <w:rFonts w:hint="eastAsia" w:ascii="宋体" w:hAnsi="宋体" w:eastAsia="宋体" w:cs="宋体"/>
                <w:color w:val="000000" w:themeColor="text1"/>
                <w:kern w:val="0"/>
                <w:sz w:val="24"/>
                <w:szCs w:val="24"/>
                <w:highlight w:val="none"/>
                <w14:textFill>
                  <w14:solidFill>
                    <w14:schemeClr w14:val="tx1"/>
                  </w14:solidFill>
                </w14:textFill>
              </w:rPr>
              <w:t>文件内容不一致的，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14:textFill>
                  <w14:solidFill>
                    <w14:schemeClr w14:val="tx1"/>
                  </w14:solidFill>
                </w14:textFill>
              </w:rPr>
              <w:t>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01FCFA40">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06591420">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4168C41E">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0B4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0" w:type="dxa"/>
            <w:vMerge w:val="continue"/>
            <w:vAlign w:val="center"/>
          </w:tcPr>
          <w:p w14:paraId="01E0246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584908F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63FF696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13954459">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.未按要求在交易系统中录入项目数据，或者录入的数据不及时、不完整、不准确的，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
                <w14:textFill>
                  <w14:solidFill>
                    <w14:schemeClr w14:val="tx1"/>
                  </w14:solidFill>
                </w14:textFill>
              </w:rPr>
              <w:t>分</w:t>
            </w: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470" w:type="dxa"/>
            <w:vAlign w:val="center"/>
          </w:tcPr>
          <w:p w14:paraId="06556854">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11D427FA">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03A0F54C">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4AB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0" w:type="dxa"/>
            <w:vMerge w:val="continue"/>
            <w:vAlign w:val="center"/>
          </w:tcPr>
          <w:p w14:paraId="0025A19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2183ACC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0E1EF6C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2CB12B3B">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.未在法定时限内答复异议（质疑）人或在异议（质疑）处理期间未按规定暂停招标活动的，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lang w:val="en"/>
                <w14:textFill>
                  <w14:solidFill>
                    <w14:schemeClr w14:val="tx1"/>
                  </w14:solidFill>
                </w14:textFill>
              </w:rPr>
              <w:t>分</w:t>
            </w: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470" w:type="dxa"/>
            <w:vAlign w:val="center"/>
          </w:tcPr>
          <w:p w14:paraId="635FE8BF">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47FBE032">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1DF327F6">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CBC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0" w:type="dxa"/>
            <w:vMerge w:val="continue"/>
            <w:vAlign w:val="center"/>
          </w:tcPr>
          <w:p w14:paraId="1E4B95F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5D2A93E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1B3B557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692AF013">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.未及时发布中标候选人公示、中标(成交)结果公示信息的或中标候选人公示、中标(成交)结果公示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信息</w:t>
            </w:r>
            <w:r>
              <w:rPr>
                <w:rFonts w:hint="eastAsia" w:ascii="宋体" w:hAnsi="宋体" w:eastAsia="宋体" w:cs="宋体"/>
                <w:color w:val="000000" w:themeColor="text1"/>
                <w:kern w:val="0"/>
                <w:sz w:val="24"/>
                <w:szCs w:val="24"/>
                <w:highlight w:val="none"/>
                <w14:textFill>
                  <w14:solidFill>
                    <w14:schemeClr w14:val="tx1"/>
                  </w14:solidFill>
                </w14:textFill>
              </w:rPr>
              <w:t>发布出现错误的，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14:textFill>
                  <w14:solidFill>
                    <w14:schemeClr w14:val="tx1"/>
                  </w14:solidFill>
                </w14:textFill>
              </w:rPr>
              <w:t>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572367F0">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4902AC20">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48248C9B">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5E37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0" w:type="dxa"/>
            <w:vMerge w:val="continue"/>
            <w:vAlign w:val="center"/>
          </w:tcPr>
          <w:p w14:paraId="44AAEB9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106D3D7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3BB906A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59B6381F">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.中标(成交)结果公示发布后不按时确认交易结果，未及时向电子服务系统提交中标(成交)通知书或中标(成交)结果数据填报错误的，一次扣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62855928">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68CEF21A">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75C46150">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04AF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0" w:type="dxa"/>
            <w:vMerge w:val="continue"/>
            <w:vAlign w:val="center"/>
          </w:tcPr>
          <w:p w14:paraId="06F502F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0144119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74B3899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5AB03E88">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.中标通知书发出后，未及时督促中标人在规定时间内签订合同</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kern w:val="0"/>
                <w:sz w:val="24"/>
                <w:szCs w:val="24"/>
                <w:highlight w:val="none"/>
                <w14:textFill>
                  <w14:solidFill>
                    <w14:schemeClr w14:val="tx1"/>
                  </w14:solidFill>
                </w14:textFill>
              </w:rPr>
              <w:t>填报合同履约信息的，一次扣2分。</w:t>
            </w:r>
          </w:p>
        </w:tc>
        <w:tc>
          <w:tcPr>
            <w:tcW w:w="1470" w:type="dxa"/>
            <w:vAlign w:val="center"/>
          </w:tcPr>
          <w:p w14:paraId="681F1ED1">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05C85A0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37D41277">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09F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0" w:type="dxa"/>
            <w:vMerge w:val="continue"/>
            <w:vAlign w:val="center"/>
          </w:tcPr>
          <w:p w14:paraId="52BB598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0543620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7DE6C9E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2CE53733">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对中标（成交）人放弃中标资格、拒绝签订合同等情况不及时报告监管部门的，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63586F21">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40DB123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6B77359E">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1510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0" w:type="dxa"/>
            <w:vMerge w:val="continue"/>
            <w:vAlign w:val="center"/>
          </w:tcPr>
          <w:p w14:paraId="0F06F24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485F175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7A8E56C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5A91ADB4">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9.对在异议（质疑）处理中，投标人（供应商）提供虚假资料等涉嫌弄虚作假行为隐瞒不核实处理或不报告的，一次扣5分。</w:t>
            </w:r>
          </w:p>
        </w:tc>
        <w:tc>
          <w:tcPr>
            <w:tcW w:w="1470" w:type="dxa"/>
            <w:vAlign w:val="center"/>
          </w:tcPr>
          <w:p w14:paraId="0885439C">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305A4E6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51AB718F">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21A3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0" w:type="dxa"/>
            <w:vMerge w:val="continue"/>
            <w:vAlign w:val="center"/>
          </w:tcPr>
          <w:p w14:paraId="343C5C4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511FF47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1567B6D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35D27CEB">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10.发布的信息有误，被政府网站等管理部门纠错曝光或者造成其他不良影响的，一次扣5分。</w:t>
            </w:r>
          </w:p>
        </w:tc>
        <w:tc>
          <w:tcPr>
            <w:tcW w:w="1470" w:type="dxa"/>
            <w:vAlign w:val="center"/>
          </w:tcPr>
          <w:p w14:paraId="1FF0B1DF">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5C225AD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53ABA20A">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7A91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70" w:type="dxa"/>
            <w:vMerge w:val="continue"/>
            <w:vAlign w:val="center"/>
          </w:tcPr>
          <w:p w14:paraId="35A9DE0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13197A1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0F4B36E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255D9BBE">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11.对潜在投标人（供应商）或投标人（供应商）提出的异议（质疑）未按规定答复或调查不及时、不深入、不到位，引发投诉或举报的，一次扣5分。</w:t>
            </w:r>
          </w:p>
        </w:tc>
        <w:tc>
          <w:tcPr>
            <w:tcW w:w="1470" w:type="dxa"/>
            <w:vAlign w:val="center"/>
          </w:tcPr>
          <w:p w14:paraId="120CF7AD">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084A764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5C9512BF">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78C3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vAlign w:val="center"/>
          </w:tcPr>
          <w:p w14:paraId="3C1D6F9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1127A8C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restart"/>
            <w:vAlign w:val="center"/>
          </w:tcPr>
          <w:p w14:paraId="0492C39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服务规范</w:t>
            </w:r>
          </w:p>
        </w:tc>
        <w:tc>
          <w:tcPr>
            <w:tcW w:w="7560" w:type="dxa"/>
            <w:vAlign w:val="center"/>
          </w:tcPr>
          <w:p w14:paraId="75406983">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1.评审结束后，未及时清理开评标场所，关闭门窗、电器、电脑设备的，一次扣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57B0C7F2">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2A1280E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40C18752">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0095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vAlign w:val="center"/>
          </w:tcPr>
          <w:p w14:paraId="62A64AF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050" w:type="dxa"/>
            <w:vMerge w:val="continue"/>
            <w:vAlign w:val="center"/>
          </w:tcPr>
          <w:p w14:paraId="485D581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440" w:type="dxa"/>
            <w:vMerge w:val="continue"/>
            <w:vAlign w:val="center"/>
          </w:tcPr>
          <w:p w14:paraId="5645C53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7560" w:type="dxa"/>
            <w:vAlign w:val="center"/>
          </w:tcPr>
          <w:p w14:paraId="0F9C006E">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2.在开评标过程中，代理机构从业人员未统一服装，且未佩戴具有单位名称、人员姓名的标识标牌的，一次扣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6341E6F0">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6D70BB9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2B8E2FA3">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23DD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vAlign w:val="center"/>
          </w:tcPr>
          <w:p w14:paraId="2782B0F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022B968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42374F4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468FFF26">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3.未按规定预约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、变更、取消</w:t>
            </w:r>
            <w:r>
              <w:rPr>
                <w:rFonts w:hint="eastAsia" w:ascii="宋体" w:hAnsi="宋体" w:eastAsia="宋体" w:cs="宋体"/>
                <w:color w:val="000000" w:themeColor="text1"/>
                <w:kern w:val="0"/>
                <w:sz w:val="24"/>
                <w:szCs w:val="24"/>
                <w:highlight w:val="none"/>
                <w14:textFill>
                  <w14:solidFill>
                    <w14:schemeClr w14:val="tx1"/>
                  </w14:solidFill>
                </w14:textFill>
              </w:rPr>
              <w:t>开评标场地的，一次扣2分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75B40AF9">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75038CE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684D3998">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2C3C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vAlign w:val="center"/>
          </w:tcPr>
          <w:p w14:paraId="60C6AC2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2536973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15A14D4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0492DEAC">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4.代理机构从业人员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因</w:t>
            </w:r>
            <w:r>
              <w:rPr>
                <w:rFonts w:hint="eastAsia" w:ascii="宋体" w:hAnsi="宋体" w:eastAsia="宋体" w:cs="宋体"/>
                <w:color w:val="000000" w:themeColor="text1"/>
                <w:kern w:val="0"/>
                <w:sz w:val="24"/>
                <w:szCs w:val="24"/>
                <w:highlight w:val="none"/>
                <w14:textFill>
                  <w14:solidFill>
                    <w14:schemeClr w14:val="tx1"/>
                  </w14:solidFill>
                </w14:textFill>
              </w:rPr>
              <w:t>服务态度被投标人（供应商）、招标人、评标专家等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市场主体</w:t>
            </w:r>
            <w:r>
              <w:rPr>
                <w:rFonts w:hint="eastAsia" w:ascii="宋体" w:hAnsi="宋体" w:eastAsia="宋体" w:cs="宋体"/>
                <w:color w:val="000000" w:themeColor="text1"/>
                <w:kern w:val="0"/>
                <w:sz w:val="24"/>
                <w:szCs w:val="24"/>
                <w:highlight w:val="none"/>
                <w14:textFill>
                  <w14:solidFill>
                    <w14:schemeClr w14:val="tx1"/>
                  </w14:solidFill>
                </w14:textFill>
              </w:rPr>
              <w:t>投诉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kern w:val="0"/>
                <w:sz w:val="24"/>
                <w:szCs w:val="24"/>
                <w:highlight w:val="none"/>
                <w14:textFill>
                  <w14:solidFill>
                    <w14:schemeClr w14:val="tx1"/>
                  </w14:solidFill>
                </w14:textFill>
              </w:rPr>
              <w:t>，经查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证</w:t>
            </w:r>
            <w:r>
              <w:rPr>
                <w:rFonts w:hint="eastAsia" w:ascii="宋体" w:hAnsi="宋体" w:eastAsia="宋体" w:cs="宋体"/>
                <w:color w:val="000000" w:themeColor="text1"/>
                <w:kern w:val="0"/>
                <w:sz w:val="24"/>
                <w:szCs w:val="24"/>
                <w:highlight w:val="none"/>
                <w14:textFill>
                  <w14:solidFill>
                    <w14:schemeClr w14:val="tx1"/>
                  </w14:solidFill>
                </w14:textFill>
              </w:rPr>
              <w:t>属实的，一次扣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7C8637A2">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7CD4D21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5A06C76F">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203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vAlign w:val="center"/>
          </w:tcPr>
          <w:p w14:paraId="5A8A9E9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7206C56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15AD7DC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29C198F7">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5.评标活动结束后，未在评标报告签署后5个工作日内，完善项目相关信息、劳务费结算信息（包括业主评委、指定评委），并上传至“安徽省评标评审综合专家库”系统，对专家评标评审信息进行完善的，一次扣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5FE95A30">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7090D33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w:t>
            </w:r>
          </w:p>
        </w:tc>
        <w:tc>
          <w:tcPr>
            <w:tcW w:w="1665" w:type="dxa"/>
            <w:vAlign w:val="center"/>
          </w:tcPr>
          <w:p w14:paraId="5F19F30C">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1C00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restart"/>
            <w:vAlign w:val="center"/>
          </w:tcPr>
          <w:p w14:paraId="4E7BDE8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restart"/>
            <w:vAlign w:val="center"/>
          </w:tcPr>
          <w:p w14:paraId="55ED43C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restart"/>
            <w:vAlign w:val="center"/>
          </w:tcPr>
          <w:p w14:paraId="74FA141C">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项目归档</w:t>
            </w:r>
          </w:p>
        </w:tc>
        <w:tc>
          <w:tcPr>
            <w:tcW w:w="7560" w:type="dxa"/>
            <w:vAlign w:val="center"/>
          </w:tcPr>
          <w:p w14:paraId="452A7241">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1.未在项目合同公开后30天内登录电子档案系统完成电子档案资料的归集的，一次扣2分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672C107F">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3125C2A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23950B4D">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021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70" w:type="dxa"/>
            <w:vMerge w:val="continue"/>
            <w:vAlign w:val="center"/>
          </w:tcPr>
          <w:p w14:paraId="67E6473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050" w:type="dxa"/>
            <w:vMerge w:val="continue"/>
            <w:vAlign w:val="center"/>
          </w:tcPr>
          <w:p w14:paraId="00CCF63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440" w:type="dxa"/>
            <w:vMerge w:val="continue"/>
            <w:vAlign w:val="center"/>
          </w:tcPr>
          <w:p w14:paraId="2C9D3B0C">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7560" w:type="dxa"/>
            <w:vAlign w:val="center"/>
          </w:tcPr>
          <w:p w14:paraId="23C86D8D">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2.电子档案系统资料不真实、不齐全、不准确、不可读的，一次扣2分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479B29DA">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731661E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6400F3D0">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712F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continue"/>
            <w:vAlign w:val="center"/>
          </w:tcPr>
          <w:p w14:paraId="7680E7D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0085318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686E46E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67F5515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3.未在项目成档后10个工作日内将符合要求的刻录光盘提交档案管理科的，一次扣2分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15E394B1">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4CEC0DD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5AAA6A43">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F77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continue"/>
            <w:vAlign w:val="center"/>
          </w:tcPr>
          <w:p w14:paraId="05FC508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18CEFEE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88D2BE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3442F4F1">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both"/>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4.电子档案光盘内刻录备份资料不真实、不齐全、不准确、不可读的，一次扣2分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2E9707AB">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667C383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交易中心</w:t>
            </w:r>
          </w:p>
        </w:tc>
        <w:tc>
          <w:tcPr>
            <w:tcW w:w="1665" w:type="dxa"/>
            <w:vAlign w:val="center"/>
          </w:tcPr>
          <w:p w14:paraId="350B0DF2">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57B2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restart"/>
            <w:vAlign w:val="center"/>
          </w:tcPr>
          <w:p w14:paraId="4B3A9AC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restart"/>
            <w:vAlign w:val="center"/>
          </w:tcPr>
          <w:p w14:paraId="462E354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restart"/>
            <w:vAlign w:val="center"/>
          </w:tcPr>
          <w:p w14:paraId="329C344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一般不良行为</w:t>
            </w:r>
          </w:p>
        </w:tc>
        <w:tc>
          <w:tcPr>
            <w:tcW w:w="7560" w:type="dxa"/>
            <w:vAlign w:val="center"/>
          </w:tcPr>
          <w:p w14:paraId="09C71326">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both"/>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.向</w:t>
            </w:r>
            <w:r>
              <w:rPr>
                <w:rFonts w:hint="eastAsia" w:ascii="宋体" w:hAnsi="宋体" w:eastAsia="宋体" w:cs="宋体"/>
                <w:color w:val="000000" w:themeColor="text1"/>
                <w:kern w:val="0"/>
                <w:sz w:val="24"/>
                <w:szCs w:val="24"/>
                <w:highlight w:val="none"/>
                <w:lang w:val="en"/>
                <w14:textFill>
                  <w14:solidFill>
                    <w14:schemeClr w14:val="tx1"/>
                  </w14:solidFill>
                </w14:textFill>
              </w:rPr>
              <w:t>招标</w:t>
            </w:r>
            <w:r>
              <w:rPr>
                <w:rFonts w:hint="eastAsia" w:ascii="宋体" w:hAnsi="宋体" w:eastAsia="宋体" w:cs="宋体"/>
                <w:color w:val="000000" w:themeColor="text1"/>
                <w:kern w:val="0"/>
                <w:sz w:val="24"/>
                <w:szCs w:val="24"/>
                <w:highlight w:val="none"/>
                <w:lang w:val="en"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人隐瞒或歪曲有关招标投标情况的，一次扣2分</w:t>
            </w:r>
            <w:r>
              <w:rPr>
                <w:rFonts w:hint="eastAsia" w:ascii="宋体" w:hAnsi="宋体" w:eastAsia="宋体" w:cs="宋体"/>
                <w:color w:val="000000" w:themeColor="text1"/>
                <w:kern w:val="0"/>
                <w:sz w:val="24"/>
                <w:szCs w:val="24"/>
                <w:highlight w:val="none"/>
                <w:lang w:val="en"/>
                <w14:textFill>
                  <w14:solidFill>
                    <w14:schemeClr w14:val="tx1"/>
                  </w14:solidFill>
                </w14:textFill>
              </w:rPr>
              <w:t>。</w:t>
            </w:r>
          </w:p>
        </w:tc>
        <w:tc>
          <w:tcPr>
            <w:tcW w:w="1470" w:type="dxa"/>
            <w:vAlign w:val="center"/>
          </w:tcPr>
          <w:p w14:paraId="74C451D4">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7C0EA6B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367DB2A2">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554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6CCD77D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050" w:type="dxa"/>
            <w:vMerge w:val="continue"/>
            <w:vAlign w:val="center"/>
          </w:tcPr>
          <w:p w14:paraId="2F204AD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440" w:type="dxa"/>
            <w:vMerge w:val="continue"/>
            <w:vAlign w:val="center"/>
          </w:tcPr>
          <w:p w14:paraId="394D6FF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7560" w:type="dxa"/>
            <w:vAlign w:val="center"/>
          </w:tcPr>
          <w:p w14:paraId="4D00CD67">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.无正当理由不按要求参加相关部门组织的会议、学习和培训的，一次扣2分。</w:t>
            </w:r>
          </w:p>
        </w:tc>
        <w:tc>
          <w:tcPr>
            <w:tcW w:w="1470" w:type="dxa"/>
            <w:vAlign w:val="center"/>
          </w:tcPr>
          <w:p w14:paraId="03FF2CA9">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6088264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25938F97">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5FE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4FA81EE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7001730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E340A3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7224ECB3">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.对中标（成交）人放弃中标资格、拒绝签订合同等情况不及时报告监管部门的，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505F96DD">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7AC76AE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4E0DF3D5">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F3A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4CE26B4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7BA415A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7240A72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3BBBBAFD">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.不执行在有效期内的法律法规、部门规章、政策文件或公共资源交易监管部门、交易服务部门制定的规范性文件或政策规定的，一次扣5分</w:t>
            </w:r>
          </w:p>
        </w:tc>
        <w:tc>
          <w:tcPr>
            <w:tcW w:w="1470" w:type="dxa"/>
            <w:vAlign w:val="center"/>
          </w:tcPr>
          <w:p w14:paraId="6602D7E5">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67A7D79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492168B9">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25B3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5DD45C4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5F1B8CF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411C575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2C1418D0">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.以各种方式对监管人员进行打击报复，威胁、谩骂，或采取各种方式妨碍执行公务、扰乱办公秩序的，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14:textFill>
                  <w14:solidFill>
                    <w14:schemeClr w14:val="tx1"/>
                  </w14:solidFill>
                </w14:textFill>
              </w:rPr>
              <w:t>5分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1A9B264B">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69B3CE6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6F06FD2A">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108D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373923E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3317186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5D4BA7C">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78A1BF2B">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lang w:val="e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因代理机构原因导致重新招标或重新评标的，</w:t>
            </w:r>
            <w:r>
              <w:rPr>
                <w:rFonts w:hint="eastAsia" w:ascii="宋体" w:hAnsi="宋体" w:eastAsia="宋体" w:cs="宋体"/>
                <w:color w:val="000000" w:themeColor="text1"/>
                <w:kern w:val="0"/>
                <w:sz w:val="24"/>
                <w:szCs w:val="24"/>
                <w:highlight w:val="none"/>
                <w:lang w:val="en"/>
                <w14:textFill>
                  <w14:solidFill>
                    <w14:schemeClr w14:val="tx1"/>
                  </w14:solidFill>
                </w14:textFill>
              </w:rPr>
              <w:t>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1470" w:type="dxa"/>
            <w:vAlign w:val="center"/>
          </w:tcPr>
          <w:p w14:paraId="2E75CC3F">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0B49F65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12AB0160">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0A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7181E50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275BA96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18D53F3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4C48058E">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.因异议或质疑回复不当引发投诉的，不积极配合投诉调查处理的，影响投诉处理进程的，或不配合其他有关监督检查活动的，一次扣5分。</w:t>
            </w:r>
          </w:p>
        </w:tc>
        <w:tc>
          <w:tcPr>
            <w:tcW w:w="1470" w:type="dxa"/>
            <w:vAlign w:val="center"/>
          </w:tcPr>
          <w:p w14:paraId="5D074BFA">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360EE3F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6656607A">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1F12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70" w:type="dxa"/>
            <w:vMerge w:val="continue"/>
            <w:vAlign w:val="center"/>
          </w:tcPr>
          <w:p w14:paraId="7B9CA73C">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352A224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5691013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404C9C1E">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代理项目违反优化营商环境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kern w:val="0"/>
                <w:sz w:val="24"/>
                <w:szCs w:val="24"/>
                <w:highlight w:val="none"/>
                <w14:textFill>
                  <w14:solidFill>
                    <w14:schemeClr w14:val="tx1"/>
                  </w14:solidFill>
                </w14:textFill>
              </w:rPr>
              <w:t>规定，</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造成不良影响</w:t>
            </w:r>
            <w:r>
              <w:rPr>
                <w:rFonts w:hint="eastAsia" w:ascii="宋体" w:hAnsi="宋体" w:eastAsia="宋体" w:cs="宋体"/>
                <w:color w:val="000000" w:themeColor="text1"/>
                <w:kern w:val="0"/>
                <w:sz w:val="24"/>
                <w:szCs w:val="24"/>
                <w:highlight w:val="none"/>
                <w14:textFill>
                  <w14:solidFill>
                    <w14:schemeClr w14:val="tx1"/>
                  </w14:solidFill>
                </w14:textFill>
              </w:rPr>
              <w:t>的，一次扣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63016E02">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6E11728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756C0CCB">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269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70" w:type="dxa"/>
            <w:vMerge w:val="restart"/>
            <w:vAlign w:val="center"/>
          </w:tcPr>
          <w:p w14:paraId="33CD3FD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restart"/>
            <w:vAlign w:val="center"/>
          </w:tcPr>
          <w:p w14:paraId="2C54A09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restart"/>
            <w:vAlign w:val="center"/>
          </w:tcPr>
          <w:p w14:paraId="16ED839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严重不良 行为</w:t>
            </w:r>
          </w:p>
        </w:tc>
        <w:tc>
          <w:tcPr>
            <w:tcW w:w="7560" w:type="dxa"/>
            <w:vAlign w:val="center"/>
          </w:tcPr>
          <w:p w14:paraId="0A719E2D">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.帮助</w:t>
            </w:r>
            <w:r>
              <w:rPr>
                <w:rFonts w:hint="eastAsia" w:ascii="宋体" w:hAnsi="宋体" w:eastAsia="宋体" w:cs="宋体"/>
                <w:color w:val="000000" w:themeColor="text1"/>
                <w:kern w:val="0"/>
                <w:sz w:val="24"/>
                <w:szCs w:val="24"/>
                <w:highlight w:val="none"/>
                <w:lang w:val="en"/>
                <w14:textFill>
                  <w14:solidFill>
                    <w14:schemeClr w14:val="tx1"/>
                  </w14:solidFill>
                </w14:textFill>
              </w:rPr>
              <w:t>招标</w:t>
            </w:r>
            <w:r>
              <w:rPr>
                <w:rFonts w:hint="eastAsia" w:ascii="宋体" w:hAnsi="宋体" w:eastAsia="宋体" w:cs="宋体"/>
                <w:color w:val="000000" w:themeColor="text1"/>
                <w:kern w:val="0"/>
                <w:sz w:val="24"/>
                <w:szCs w:val="24"/>
                <w:highlight w:val="none"/>
                <w:lang w:val="en"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人将必须进行</w:t>
            </w:r>
            <w:r>
              <w:rPr>
                <w:rFonts w:hint="eastAsia" w:ascii="宋体" w:hAnsi="宋体" w:eastAsia="宋体" w:cs="宋体"/>
                <w:color w:val="000000" w:themeColor="text1"/>
                <w:kern w:val="0"/>
                <w:sz w:val="24"/>
                <w:szCs w:val="24"/>
                <w:highlight w:val="none"/>
                <w:lang w:val="e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项目化整为零或以其它方式规避招标的，扣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062EF895">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5D29349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06BBB1F5">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55C8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70" w:type="dxa"/>
            <w:vMerge w:val="continue"/>
            <w:vAlign w:val="center"/>
          </w:tcPr>
          <w:p w14:paraId="1DA5E1D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050" w:type="dxa"/>
            <w:vMerge w:val="continue"/>
            <w:vAlign w:val="center"/>
          </w:tcPr>
          <w:p w14:paraId="4C19EAA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440" w:type="dxa"/>
            <w:vMerge w:val="continue"/>
            <w:vAlign w:val="center"/>
          </w:tcPr>
          <w:p w14:paraId="198852A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7560" w:type="dxa"/>
            <w:vAlign w:val="center"/>
          </w:tcPr>
          <w:p w14:paraId="66881D37">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.采取行贿、提供回扣或者输送不正当利益等非法手段承揽业务的，扣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13EAD380">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0856F14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3260F6EE">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F87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70" w:type="dxa"/>
            <w:vMerge w:val="continue"/>
            <w:vAlign w:val="center"/>
          </w:tcPr>
          <w:p w14:paraId="7BC47EA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069CD48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EA7649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48D947BE">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.泄露与公共资源交易活动有关应当保密的资料和信息的，扣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23E2FF2A">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51D21C5C">
            <w:pPr>
              <w:keepNext w:val="0"/>
              <w:keepLines w:val="0"/>
              <w:pageBreakBefore w:val="0"/>
              <w:widowControl/>
              <w:kinsoku/>
              <w:wordWrap/>
              <w:overflowPunct/>
              <w:topLinePunct w:val="0"/>
              <w:autoSpaceDE/>
              <w:autoSpaceDN/>
              <w:bidi w:val="0"/>
              <w:adjustRightInd w:val="0"/>
              <w:snapToGrid/>
              <w:spacing w:line="360" w:lineRule="exact"/>
              <w:jc w:val="both"/>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36B0B8DB">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83A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870" w:type="dxa"/>
            <w:vMerge w:val="continue"/>
            <w:vAlign w:val="center"/>
          </w:tcPr>
          <w:p w14:paraId="26511A6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4B21B17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7230684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4778DC6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.与招标人、投标人（供应商）、评标专家等串通</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kern w:val="0"/>
                <w:sz w:val="24"/>
                <w:szCs w:val="24"/>
                <w:highlight w:val="none"/>
                <w14:textFill>
                  <w14:solidFill>
                    <w14:schemeClr w14:val="tx1"/>
                  </w14:solidFill>
                </w14:textFill>
              </w:rPr>
              <w:t>其他非法干预、影响评标过程及结果，损害国家利益、社会公共利益或者他人合法权益的，扣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66C0FC28">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w:t>
            </w:r>
          </w:p>
          <w:p w14:paraId="60309920">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其从业人员</w:t>
            </w:r>
          </w:p>
        </w:tc>
        <w:tc>
          <w:tcPr>
            <w:tcW w:w="2115" w:type="dxa"/>
            <w:vAlign w:val="center"/>
          </w:tcPr>
          <w:p w14:paraId="5AA56040">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707506EA">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21B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70" w:type="dxa"/>
            <w:vMerge w:val="continue"/>
            <w:vAlign w:val="center"/>
          </w:tcPr>
          <w:p w14:paraId="42438F9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6184A75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1984379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71060215">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.在所代理的交易项目中参与投标、代理投标，或者为所代理项目的竞争主体提供咨询的，扣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35DADE0B">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089A3FCF">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188547E1">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E72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70" w:type="dxa"/>
            <w:vMerge w:val="continue"/>
            <w:vAlign w:val="center"/>
          </w:tcPr>
          <w:p w14:paraId="3D04550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3FBA934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3DE80CC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18B18B2C">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.应进入市公共资源交易平台交易而未</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进</w:t>
            </w:r>
            <w:r>
              <w:rPr>
                <w:rFonts w:hint="eastAsia" w:ascii="宋体" w:hAnsi="宋体" w:eastAsia="宋体" w:cs="宋体"/>
                <w:color w:val="000000" w:themeColor="text1"/>
                <w:kern w:val="0"/>
                <w:sz w:val="24"/>
                <w:szCs w:val="24"/>
                <w:highlight w:val="none"/>
                <w14:textFill>
                  <w14:solidFill>
                    <w14:schemeClr w14:val="tx1"/>
                  </w14:solidFill>
                </w14:textFill>
              </w:rPr>
              <w:t>，或明知委托事项违法而进行代理的，扣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6B48FDCF">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1F6DCECF">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3AF335BA">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288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70" w:type="dxa"/>
            <w:vMerge w:val="continue"/>
            <w:vAlign w:val="center"/>
          </w:tcPr>
          <w:p w14:paraId="7D9A69B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7AA81DE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EEE50B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6FB03878">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.隐匿、销毁或者伪造、变造应当保存的交易文件、交易数据等资料的，扣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746E874E">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1AFE9DA6">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14D29007">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2FEC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70" w:type="dxa"/>
            <w:vMerge w:val="continue"/>
            <w:vAlign w:val="center"/>
          </w:tcPr>
          <w:p w14:paraId="6AEE8BF1">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4DD1DD26">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6BEE7F1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55F67900">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对项目单位、竞争主体、评标评审专家等提出的违法违规要求不予抵制、及时劝阻，背离职业道德无原则附和的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扣25分。</w:t>
            </w:r>
          </w:p>
        </w:tc>
        <w:tc>
          <w:tcPr>
            <w:tcW w:w="1470" w:type="dxa"/>
            <w:vAlign w:val="center"/>
          </w:tcPr>
          <w:p w14:paraId="11BEB07A">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3BB5D15A">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246551CA">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03EF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70" w:type="dxa"/>
            <w:vMerge w:val="continue"/>
            <w:vAlign w:val="center"/>
          </w:tcPr>
          <w:p w14:paraId="6CD1510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3F77394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7E7E0B7A">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0FF349FF">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szCs w:val="24"/>
                <w:highlight w:val="none"/>
                <w14:textFill>
                  <w14:solidFill>
                    <w14:schemeClr w14:val="tx1"/>
                  </w14:solidFill>
                </w14:textFill>
              </w:rPr>
              <w:t>因招标代理机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构的</w:t>
            </w:r>
            <w:r>
              <w:rPr>
                <w:rFonts w:hint="eastAsia" w:ascii="宋体" w:hAnsi="宋体" w:eastAsia="宋体" w:cs="宋体"/>
                <w:color w:val="000000" w:themeColor="text1"/>
                <w:kern w:val="0"/>
                <w:sz w:val="24"/>
                <w:szCs w:val="24"/>
                <w:highlight w:val="none"/>
                <w14:textFill>
                  <w14:solidFill>
                    <w14:schemeClr w14:val="tx1"/>
                  </w14:solidFill>
                </w14:textFill>
              </w:rPr>
              <w:t>原因被国家、省相关部门及市委、市政府通报、责令整改、扣分等情形，或造成严重社会影响及严重影响项目交易进程的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扣25分。</w:t>
            </w:r>
          </w:p>
        </w:tc>
        <w:tc>
          <w:tcPr>
            <w:tcW w:w="1470" w:type="dxa"/>
            <w:vAlign w:val="center"/>
          </w:tcPr>
          <w:p w14:paraId="6E2D33E6">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05099B41">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262AF7FB">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1D45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0" w:type="dxa"/>
            <w:vMerge w:val="continue"/>
            <w:vAlign w:val="center"/>
          </w:tcPr>
          <w:p w14:paraId="4C6D5EBD">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7FADE59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766EBE20">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5B65A47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评标过程中发表有倾向性、歧视性、排他性、引导性言论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暗示或者干扰评标评审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致使评标评审不能客观公正的；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扣25分。</w:t>
            </w:r>
          </w:p>
        </w:tc>
        <w:tc>
          <w:tcPr>
            <w:tcW w:w="1470" w:type="dxa"/>
            <w:vAlign w:val="center"/>
          </w:tcPr>
          <w:p w14:paraId="2F08838C">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28502CF7">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46DAC263">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7268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0" w:type="dxa"/>
            <w:vMerge w:val="continue"/>
            <w:vAlign w:val="center"/>
          </w:tcPr>
          <w:p w14:paraId="0A2F77F4">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2A1E3DC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1775165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125CB9C6">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bookmarkStart w:id="0" w:name="_GoBack"/>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kern w:val="0"/>
                <w:sz w:val="24"/>
                <w:szCs w:val="24"/>
                <w:highlight w:val="none"/>
                <w14:textFill>
                  <w14:solidFill>
                    <w14:schemeClr w14:val="tx1"/>
                  </w14:solidFill>
                </w14:textFill>
              </w:rPr>
              <w:t>指使、纵容、默许竞争主体串通投标；诱导项目单位违规操作，</w:t>
            </w:r>
            <w:bookmarkEnd w:id="0"/>
            <w:r>
              <w:rPr>
                <w:rFonts w:hint="eastAsia" w:ascii="宋体" w:hAnsi="宋体" w:eastAsia="宋体" w:cs="宋体"/>
                <w:color w:val="000000" w:themeColor="text1"/>
                <w:kern w:val="0"/>
                <w:sz w:val="24"/>
                <w:szCs w:val="24"/>
                <w:highlight w:val="none"/>
                <w14:textFill>
                  <w14:solidFill>
                    <w14:schemeClr w14:val="tx1"/>
                  </w14:solidFill>
                </w14:textFill>
              </w:rPr>
              <w:t>或者唆使竞争主体恶意投诉的；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扣25分。</w:t>
            </w:r>
          </w:p>
        </w:tc>
        <w:tc>
          <w:tcPr>
            <w:tcW w:w="1470" w:type="dxa"/>
            <w:vAlign w:val="center"/>
          </w:tcPr>
          <w:p w14:paraId="40009772">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45CA8154">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1D4D78AA">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3AD1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70" w:type="dxa"/>
            <w:vMerge w:val="continue"/>
            <w:vAlign w:val="center"/>
          </w:tcPr>
          <w:p w14:paraId="7A6F377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6F93272F">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8704C0C">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7C55B586">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14:textFill>
                  <w14:solidFill>
                    <w14:schemeClr w14:val="tx1"/>
                  </w14:solidFill>
                </w14:textFill>
              </w:rPr>
              <w:t>代理机构或其法定代表人从事代理业务被追究刑事责任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被人民法院列入失信被执行人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被行政主管部门行政处罚的，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扣25分且</w:t>
            </w:r>
            <w:r>
              <w:rPr>
                <w:rFonts w:hint="eastAsia" w:ascii="宋体" w:hAnsi="宋体" w:eastAsia="宋体" w:cs="宋体"/>
                <w:color w:val="000000" w:themeColor="text1"/>
                <w:kern w:val="0"/>
                <w:sz w:val="24"/>
                <w:szCs w:val="24"/>
                <w:highlight w:val="none"/>
                <w14:textFill>
                  <w14:solidFill>
                    <w14:schemeClr w14:val="tx1"/>
                  </w14:solidFill>
                </w14:textFill>
              </w:rPr>
              <w:t>年度信用等级直接确定为D级。</w:t>
            </w:r>
          </w:p>
        </w:tc>
        <w:tc>
          <w:tcPr>
            <w:tcW w:w="1470" w:type="dxa"/>
            <w:vAlign w:val="center"/>
          </w:tcPr>
          <w:p w14:paraId="78E5FACC">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2DBAD92F">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1B846453">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291D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70" w:type="dxa"/>
            <w:vMerge w:val="continue"/>
            <w:vAlign w:val="center"/>
          </w:tcPr>
          <w:p w14:paraId="250FF7B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4F0837A5">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Merge w:val="continue"/>
            <w:vAlign w:val="center"/>
          </w:tcPr>
          <w:p w14:paraId="29AFF83B">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7560" w:type="dxa"/>
            <w:vAlign w:val="center"/>
          </w:tcPr>
          <w:p w14:paraId="3D072512">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kern w:val="0"/>
                <w:sz w:val="24"/>
                <w:szCs w:val="24"/>
                <w:highlight w:val="none"/>
                <w14:textFill>
                  <w14:solidFill>
                    <w14:schemeClr w14:val="tx1"/>
                  </w14:solidFill>
                </w14:textFill>
              </w:rPr>
              <w:t>其他违反法律法规及规章的行为，扣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6216865F">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代理机构及其从业人员</w:t>
            </w:r>
          </w:p>
        </w:tc>
        <w:tc>
          <w:tcPr>
            <w:tcW w:w="2115" w:type="dxa"/>
            <w:vAlign w:val="center"/>
          </w:tcPr>
          <w:p w14:paraId="6A257D18">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1DBB5B95">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5CDB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0" w:type="dxa"/>
            <w:vMerge w:val="restart"/>
            <w:vAlign w:val="center"/>
          </w:tcPr>
          <w:p w14:paraId="0514DA5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6</w:t>
            </w:r>
          </w:p>
        </w:tc>
        <w:tc>
          <w:tcPr>
            <w:tcW w:w="1050" w:type="dxa"/>
            <w:vMerge w:val="restart"/>
            <w:vAlign w:val="center"/>
          </w:tcPr>
          <w:p w14:paraId="188D6BE4">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良好行为信息</w:t>
            </w:r>
          </w:p>
          <w:p w14:paraId="399407F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（加分）</w:t>
            </w:r>
          </w:p>
        </w:tc>
        <w:tc>
          <w:tcPr>
            <w:tcW w:w="1440" w:type="dxa"/>
            <w:vAlign w:val="center"/>
          </w:tcPr>
          <w:p w14:paraId="264F31E3">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表彰奖励</w:t>
            </w:r>
          </w:p>
          <w:p w14:paraId="5B2D79F4">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分）</w:t>
            </w:r>
          </w:p>
        </w:tc>
        <w:tc>
          <w:tcPr>
            <w:tcW w:w="7560" w:type="dxa"/>
            <w:vAlign w:val="center"/>
          </w:tcPr>
          <w:p w14:paraId="23D5A7A3">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评价周期内招标采购业务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包括参与</w:t>
            </w:r>
            <w:r>
              <w:rPr>
                <w:rFonts w:hint="eastAsia" w:ascii="宋体" w:hAnsi="宋体" w:eastAsia="宋体" w:cs="宋体"/>
                <w:color w:val="000000" w:themeColor="text1"/>
                <w:kern w:val="0"/>
                <w:sz w:val="24"/>
                <w:szCs w:val="24"/>
                <w:highlight w:val="none"/>
                <w14:textFill>
                  <w14:solidFill>
                    <w14:schemeClr w14:val="tx1"/>
                  </w14:solidFill>
                </w14:textFill>
              </w:rPr>
              <w:t>政策制定、制度创新、课题研究、招标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文件示范文本编制</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、优秀企业评选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受到国家</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省、市</w:t>
            </w:r>
            <w:r>
              <w:rPr>
                <w:rFonts w:hint="eastAsia" w:ascii="宋体" w:hAnsi="宋体" w:eastAsia="宋体" w:cs="宋体"/>
                <w:color w:val="000000" w:themeColor="text1"/>
                <w:kern w:val="0"/>
                <w:sz w:val="24"/>
                <w:szCs w:val="24"/>
                <w:highlight w:val="none"/>
                <w14:textFill>
                  <w14:solidFill>
                    <w14:schemeClr w14:val="tx1"/>
                  </w14:solidFill>
                </w14:textFill>
              </w:rPr>
              <w:t>相关行政主管部门通报表扬或奖励的；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分别给予8分、6分、4分加分</w:t>
            </w: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470" w:type="dxa"/>
            <w:vAlign w:val="center"/>
          </w:tcPr>
          <w:p w14:paraId="2BC838A0">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3016D7C1">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0810EFF3">
            <w:pPr>
              <w:keepNext w:val="0"/>
              <w:keepLines w:val="0"/>
              <w:pageBreakBefore w:val="0"/>
              <w:widowControl/>
              <w:kinsoku/>
              <w:wordWrap/>
              <w:overflowPunct/>
              <w:topLinePunct w:val="0"/>
              <w:autoSpaceDE/>
              <w:autoSpaceDN/>
              <w:bidi w:val="0"/>
              <w:adjustRightInd w:val="0"/>
              <w:snapToGrid/>
              <w:spacing w:line="360" w:lineRule="exact"/>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因同一事项被重复通报表扬或奖励的，按奖项级别最高的计分，不重复计分。</w:t>
            </w:r>
          </w:p>
        </w:tc>
      </w:tr>
      <w:tr w14:paraId="5BDC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0" w:type="dxa"/>
            <w:vMerge w:val="continue"/>
            <w:vAlign w:val="center"/>
          </w:tcPr>
          <w:p w14:paraId="0C0CA068">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050" w:type="dxa"/>
            <w:vMerge w:val="continue"/>
            <w:vAlign w:val="center"/>
          </w:tcPr>
          <w:p w14:paraId="6A8708DE">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sz w:val="24"/>
                <w:szCs w:val="24"/>
              </w:rPr>
            </w:pPr>
          </w:p>
        </w:tc>
        <w:tc>
          <w:tcPr>
            <w:tcW w:w="1440" w:type="dxa"/>
            <w:vAlign w:val="center"/>
          </w:tcPr>
          <w:p w14:paraId="3D97CD44">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教育培训</w:t>
            </w:r>
          </w:p>
          <w:p w14:paraId="05C56391">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7560" w:type="dxa"/>
            <w:vAlign w:val="center"/>
          </w:tcPr>
          <w:p w14:paraId="26735D6B">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代理机构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或其</w:t>
            </w:r>
            <w:r>
              <w:rPr>
                <w:rFonts w:hint="eastAsia" w:ascii="宋体" w:hAnsi="宋体" w:eastAsia="宋体" w:cs="宋体"/>
                <w:color w:val="000000" w:themeColor="text1"/>
                <w:kern w:val="0"/>
                <w:sz w:val="24"/>
                <w:szCs w:val="24"/>
                <w:highlight w:val="none"/>
                <w14:textFill>
                  <w14:solidFill>
                    <w14:schemeClr w14:val="tx1"/>
                  </w14:solidFill>
                </w14:textFill>
              </w:rPr>
              <w:t>从业人员积极参加</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公共资源交易</w:t>
            </w:r>
            <w:r>
              <w:rPr>
                <w:rFonts w:hint="eastAsia" w:ascii="宋体" w:hAnsi="宋体" w:eastAsia="宋体" w:cs="宋体"/>
                <w:color w:val="000000" w:themeColor="text1"/>
                <w:kern w:val="0"/>
                <w:sz w:val="24"/>
                <w:szCs w:val="24"/>
                <w:highlight w:val="none"/>
                <w14:textFill>
                  <w14:solidFill>
                    <w14:schemeClr w14:val="tx1"/>
                  </w14:solidFill>
                </w14:textFill>
              </w:rPr>
              <w:t>监管部门、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财政部门、</w:t>
            </w:r>
            <w:r>
              <w:rPr>
                <w:rFonts w:hint="eastAsia" w:ascii="宋体" w:hAnsi="宋体" w:eastAsia="宋体" w:cs="宋体"/>
                <w:color w:val="000000" w:themeColor="text1"/>
                <w:kern w:val="0"/>
                <w:sz w:val="24"/>
                <w:szCs w:val="24"/>
                <w:highlight w:val="none"/>
                <w14:textFill>
                  <w14:solidFill>
                    <w14:schemeClr w14:val="tx1"/>
                  </w14:solidFill>
                </w14:textFill>
              </w:rPr>
              <w:t>交易</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中心</w:t>
            </w:r>
            <w:r>
              <w:rPr>
                <w:rFonts w:hint="eastAsia" w:ascii="宋体" w:hAnsi="宋体" w:eastAsia="宋体" w:cs="宋体"/>
                <w:color w:val="000000" w:themeColor="text1"/>
                <w:kern w:val="0"/>
                <w:sz w:val="24"/>
                <w:szCs w:val="24"/>
                <w:highlight w:val="none"/>
                <w14:textFill>
                  <w14:solidFill>
                    <w14:schemeClr w14:val="tx1"/>
                  </w14:solidFill>
                </w14:textFill>
              </w:rPr>
              <w:t>、行业协会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等</w:t>
            </w:r>
            <w:r>
              <w:rPr>
                <w:rFonts w:hint="eastAsia" w:ascii="宋体" w:hAnsi="宋体" w:eastAsia="宋体" w:cs="宋体"/>
                <w:color w:val="000000" w:themeColor="text1"/>
                <w:kern w:val="0"/>
                <w:sz w:val="24"/>
                <w:szCs w:val="24"/>
                <w:highlight w:val="none"/>
                <w14:textFill>
                  <w14:solidFill>
                    <w14:schemeClr w14:val="tx1"/>
                  </w14:solidFill>
                </w14:textFill>
              </w:rPr>
              <w:t>组织有关座谈、培训活动的，每次加0.5分，本项满分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79C697C1">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3FC41F09">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52CD8C0E">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r w14:paraId="4131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0" w:type="dxa"/>
            <w:vMerge w:val="continue"/>
            <w:vAlign w:val="center"/>
          </w:tcPr>
          <w:p w14:paraId="03E719A2">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050" w:type="dxa"/>
            <w:vMerge w:val="continue"/>
            <w:vAlign w:val="center"/>
          </w:tcPr>
          <w:p w14:paraId="0F5FA347">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c>
          <w:tcPr>
            <w:tcW w:w="1440" w:type="dxa"/>
            <w:vAlign w:val="center"/>
          </w:tcPr>
          <w:p w14:paraId="4E9E2B40">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参与公益活动（</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7560" w:type="dxa"/>
            <w:vAlign w:val="center"/>
          </w:tcPr>
          <w:p w14:paraId="275DDFD9">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评价年度内积极参加社会相关公益活动的，每次加</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kern w:val="0"/>
                <w:sz w:val="24"/>
                <w:szCs w:val="24"/>
                <w:highlight w:val="none"/>
                <w14:textFill>
                  <w14:solidFill>
                    <w14:schemeClr w14:val="tx1"/>
                  </w14:solidFill>
                </w14:textFill>
              </w:rPr>
              <w:t>分，本项满分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470" w:type="dxa"/>
            <w:vAlign w:val="center"/>
          </w:tcPr>
          <w:p w14:paraId="6A8BE9F5">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代理机构</w:t>
            </w:r>
          </w:p>
        </w:tc>
        <w:tc>
          <w:tcPr>
            <w:tcW w:w="2115" w:type="dxa"/>
            <w:vAlign w:val="center"/>
          </w:tcPr>
          <w:p w14:paraId="17C6CA93">
            <w:pPr>
              <w:keepNext w:val="0"/>
              <w:keepLines w:val="0"/>
              <w:pageBreakBefore w:val="0"/>
              <w:widowControl/>
              <w:kinsoku/>
              <w:wordWrap/>
              <w:overflowPunct/>
              <w:topLinePunct w:val="0"/>
              <w:autoSpaceDE/>
              <w:autoSpaceDN/>
              <w:bidi w:val="0"/>
              <w:adjustRightInd w:val="0"/>
              <w:snapToGrid/>
              <w:spacing w:line="360" w:lineRule="exact"/>
              <w:jc w:val="center"/>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公管局、财政局</w:t>
            </w:r>
          </w:p>
        </w:tc>
        <w:tc>
          <w:tcPr>
            <w:tcW w:w="1665" w:type="dxa"/>
            <w:vAlign w:val="center"/>
          </w:tcPr>
          <w:p w14:paraId="7CC6B916">
            <w:pPr>
              <w:keepNext w:val="0"/>
              <w:keepLines w:val="0"/>
              <w:pageBreakBefore w:val="0"/>
              <w:widowControl/>
              <w:kinsoku/>
              <w:wordWrap/>
              <w:overflowPunct/>
              <w:topLinePunct w:val="0"/>
              <w:autoSpaceDE/>
              <w:autoSpaceDN/>
              <w:bidi w:val="0"/>
              <w:adjustRightInd w:val="0"/>
              <w:snapToGrid/>
              <w:spacing w:line="360" w:lineRule="exact"/>
              <w:jc w:val="left"/>
              <w:rPr>
                <w:rFonts w:hint="eastAsia" w:ascii="宋体" w:hAnsi="宋体" w:eastAsia="宋体" w:cs="宋体"/>
                <w:b/>
                <w:bCs/>
                <w:color w:val="000000" w:themeColor="text1"/>
                <w:kern w:val="0"/>
                <w:sz w:val="24"/>
                <w:szCs w:val="24"/>
                <w:highlight w:val="none"/>
                <w:lang w:bidi="ar"/>
                <w14:textFill>
                  <w14:solidFill>
                    <w14:schemeClr w14:val="tx1"/>
                  </w14:solidFill>
                </w14:textFill>
              </w:rPr>
            </w:pPr>
          </w:p>
        </w:tc>
      </w:tr>
    </w:tbl>
    <w:p w14:paraId="24E4106A">
      <w:pPr>
        <w:pageBreakBefore w:val="0"/>
        <w:kinsoku/>
        <w:wordWrap/>
        <w:overflowPunct/>
        <w:topLinePunct w:val="0"/>
        <w:autoSpaceDE/>
        <w:autoSpaceDN/>
        <w:bidi w:val="0"/>
        <w:spacing w:line="540" w:lineRule="exac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备注：</w:t>
      </w:r>
    </w:p>
    <w:p w14:paraId="6D46C06D">
      <w:pPr>
        <w:pageBreakBefore w:val="0"/>
        <w:numPr>
          <w:ilvl w:val="0"/>
          <w:numId w:val="1"/>
        </w:numPr>
        <w:kinsoku/>
        <w:wordWrap/>
        <w:overflowPunct/>
        <w:topLinePunct w:val="0"/>
        <w:autoSpaceDE/>
        <w:autoSpaceDN/>
        <w:bidi w:val="0"/>
        <w:spacing w:line="540" w:lineRule="exac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代理机构及其从业人员不良行为扣分标准遵照本标准执行。</w:t>
      </w:r>
    </w:p>
    <w:p w14:paraId="3FA8C198">
      <w:pPr>
        <w:pageBreakBefore w:val="0"/>
        <w:numPr>
          <w:ilvl w:val="0"/>
          <w:numId w:val="0"/>
        </w:numPr>
        <w:kinsoku/>
        <w:wordWrap/>
        <w:overflowPunct/>
        <w:topLinePunct w:val="0"/>
        <w:autoSpaceDE/>
        <w:autoSpaceDN/>
        <w:bidi w:val="0"/>
        <w:spacing w:line="540" w:lineRule="exact"/>
        <w:rPr>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代理机构及</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其</w:t>
      </w:r>
      <w:r>
        <w:rPr>
          <w:rFonts w:hint="eastAsia" w:ascii="宋体" w:hAnsi="宋体" w:eastAsia="宋体" w:cs="宋体"/>
          <w:b/>
          <w:bCs/>
          <w:color w:val="000000" w:themeColor="text1"/>
          <w:sz w:val="24"/>
          <w:szCs w:val="24"/>
          <w:highlight w:val="none"/>
          <w14:textFill>
            <w14:solidFill>
              <w14:schemeClr w14:val="tx1"/>
            </w14:solidFill>
          </w14:textFill>
        </w:rPr>
        <w:t>从业人员</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不良行为</w:t>
      </w:r>
      <w:r>
        <w:rPr>
          <w:rFonts w:hint="eastAsia" w:ascii="宋体" w:hAnsi="宋体" w:eastAsia="宋体" w:cs="宋体"/>
          <w:b/>
          <w:bCs/>
          <w:color w:val="000000" w:themeColor="text1"/>
          <w:sz w:val="24"/>
          <w:szCs w:val="24"/>
          <w:highlight w:val="none"/>
          <w14:textFill>
            <w14:solidFill>
              <w14:schemeClr w14:val="tx1"/>
            </w14:solidFill>
          </w14:textFill>
        </w:rPr>
        <w:t>实行同值</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扣</w:t>
      </w:r>
      <w:r>
        <w:rPr>
          <w:rFonts w:hint="eastAsia" w:ascii="宋体" w:hAnsi="宋体" w:eastAsia="宋体" w:cs="宋体"/>
          <w:b/>
          <w:bCs/>
          <w:color w:val="000000" w:themeColor="text1"/>
          <w:sz w:val="24"/>
          <w:szCs w:val="24"/>
          <w:highlight w:val="none"/>
          <w14:textFill>
            <w14:solidFill>
              <w14:schemeClr w14:val="tx1"/>
            </w14:solidFill>
          </w14:textFill>
        </w:rPr>
        <w:t>分</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7ABAD9FB">
      <w:pPr>
        <w:pStyle w:val="2"/>
        <w:pageBreakBefore w:val="0"/>
        <w:kinsoku/>
        <w:wordWrap/>
        <w:overflowPunct/>
        <w:topLinePunct w:val="0"/>
        <w:autoSpaceDE/>
        <w:autoSpaceDN/>
        <w:bidi w:val="0"/>
        <w:spacing w:line="540" w:lineRule="exact"/>
        <w:rPr>
          <w:rFonts w:hint="default"/>
          <w:color w:val="000000" w:themeColor="text1"/>
          <w:highlight w:val="none"/>
          <w:lang w:val="en-US" w:eastAsia="zh-CN"/>
          <w14:textFill>
            <w14:solidFill>
              <w14:schemeClr w14:val="tx1"/>
            </w14:solidFill>
          </w14:textFill>
        </w:rPr>
      </w:pPr>
    </w:p>
    <w:sectPr>
      <w:footerReference r:id="rId3" w:type="default"/>
      <w:pgSz w:w="16838" w:h="11906" w:orient="landscape"/>
      <w:pgMar w:top="720" w:right="720" w:bottom="720" w:left="720" w:header="567" w:footer="39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B0A3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A443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5A443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6A0AE"/>
    <w:multiLevelType w:val="singleLevel"/>
    <w:tmpl w:val="05A6A0A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jY5ZmVkYTdmYjhhMTNhNjRmYjViMGVkNzYwZTcifQ=="/>
  </w:docVars>
  <w:rsids>
    <w:rsidRoot w:val="003321F1"/>
    <w:rsid w:val="001D34F3"/>
    <w:rsid w:val="002808AD"/>
    <w:rsid w:val="002B0FFB"/>
    <w:rsid w:val="00320EDE"/>
    <w:rsid w:val="003321F1"/>
    <w:rsid w:val="003F3B85"/>
    <w:rsid w:val="00483782"/>
    <w:rsid w:val="004953D7"/>
    <w:rsid w:val="00604D09"/>
    <w:rsid w:val="006266ED"/>
    <w:rsid w:val="00784A4D"/>
    <w:rsid w:val="007C2A68"/>
    <w:rsid w:val="007C7EAE"/>
    <w:rsid w:val="00836191"/>
    <w:rsid w:val="00896087"/>
    <w:rsid w:val="008F7820"/>
    <w:rsid w:val="00967EF2"/>
    <w:rsid w:val="009B1DAA"/>
    <w:rsid w:val="009D7D8F"/>
    <w:rsid w:val="00BF2F85"/>
    <w:rsid w:val="00C235E2"/>
    <w:rsid w:val="00D57A82"/>
    <w:rsid w:val="00DF0B9F"/>
    <w:rsid w:val="00F81464"/>
    <w:rsid w:val="016567CD"/>
    <w:rsid w:val="029E74B3"/>
    <w:rsid w:val="02AB3C2A"/>
    <w:rsid w:val="03543383"/>
    <w:rsid w:val="04120D85"/>
    <w:rsid w:val="04203641"/>
    <w:rsid w:val="04602913"/>
    <w:rsid w:val="049F3960"/>
    <w:rsid w:val="04E84DE3"/>
    <w:rsid w:val="071C642A"/>
    <w:rsid w:val="07610E7C"/>
    <w:rsid w:val="098E045D"/>
    <w:rsid w:val="09BA2AC6"/>
    <w:rsid w:val="0A067AB9"/>
    <w:rsid w:val="0B4862E3"/>
    <w:rsid w:val="0C0452F3"/>
    <w:rsid w:val="0C0A7D34"/>
    <w:rsid w:val="0C294802"/>
    <w:rsid w:val="0C6236CC"/>
    <w:rsid w:val="0CFF1B8B"/>
    <w:rsid w:val="0D2B4D66"/>
    <w:rsid w:val="0E1000EB"/>
    <w:rsid w:val="0EA24F80"/>
    <w:rsid w:val="0EE06B2A"/>
    <w:rsid w:val="111D5BA4"/>
    <w:rsid w:val="111F7DDE"/>
    <w:rsid w:val="1283439D"/>
    <w:rsid w:val="12A72CD1"/>
    <w:rsid w:val="13034356"/>
    <w:rsid w:val="130B4AB3"/>
    <w:rsid w:val="13CA1B57"/>
    <w:rsid w:val="14983A03"/>
    <w:rsid w:val="157B135B"/>
    <w:rsid w:val="16E318AE"/>
    <w:rsid w:val="174D4F79"/>
    <w:rsid w:val="195C5947"/>
    <w:rsid w:val="19CF4A96"/>
    <w:rsid w:val="1B154000"/>
    <w:rsid w:val="1BD95215"/>
    <w:rsid w:val="1C130AAB"/>
    <w:rsid w:val="1D2714CF"/>
    <w:rsid w:val="1D6467A8"/>
    <w:rsid w:val="1E983160"/>
    <w:rsid w:val="1ECD76E6"/>
    <w:rsid w:val="1F2634B6"/>
    <w:rsid w:val="20911FE7"/>
    <w:rsid w:val="21582E98"/>
    <w:rsid w:val="21ED7384"/>
    <w:rsid w:val="21F901D7"/>
    <w:rsid w:val="22517D13"/>
    <w:rsid w:val="22715FC0"/>
    <w:rsid w:val="24506E1F"/>
    <w:rsid w:val="247256DD"/>
    <w:rsid w:val="24E524CB"/>
    <w:rsid w:val="250C1FD0"/>
    <w:rsid w:val="2547125A"/>
    <w:rsid w:val="25DA5A23"/>
    <w:rsid w:val="264F669A"/>
    <w:rsid w:val="26545E78"/>
    <w:rsid w:val="26F602DF"/>
    <w:rsid w:val="276E0D20"/>
    <w:rsid w:val="27FC632B"/>
    <w:rsid w:val="281B7054"/>
    <w:rsid w:val="28DF337A"/>
    <w:rsid w:val="29195C2D"/>
    <w:rsid w:val="29374EBE"/>
    <w:rsid w:val="296F5223"/>
    <w:rsid w:val="2A41271B"/>
    <w:rsid w:val="2A614251"/>
    <w:rsid w:val="2BE53078"/>
    <w:rsid w:val="2C3625EA"/>
    <w:rsid w:val="2C9B7ADD"/>
    <w:rsid w:val="2D8D0B3B"/>
    <w:rsid w:val="2ECD7EAC"/>
    <w:rsid w:val="2F2B626B"/>
    <w:rsid w:val="30AA531C"/>
    <w:rsid w:val="30B12AA6"/>
    <w:rsid w:val="315607AF"/>
    <w:rsid w:val="31CE704D"/>
    <w:rsid w:val="31D57791"/>
    <w:rsid w:val="31D80D19"/>
    <w:rsid w:val="32615D9E"/>
    <w:rsid w:val="329B7FCE"/>
    <w:rsid w:val="33270899"/>
    <w:rsid w:val="335B2446"/>
    <w:rsid w:val="337038A2"/>
    <w:rsid w:val="33B91F43"/>
    <w:rsid w:val="341B58E1"/>
    <w:rsid w:val="351500DE"/>
    <w:rsid w:val="353335A8"/>
    <w:rsid w:val="35373099"/>
    <w:rsid w:val="35876224"/>
    <w:rsid w:val="364B4EB1"/>
    <w:rsid w:val="36B77505"/>
    <w:rsid w:val="373D331B"/>
    <w:rsid w:val="379170BF"/>
    <w:rsid w:val="37AE7AD0"/>
    <w:rsid w:val="3902644F"/>
    <w:rsid w:val="395E5AD5"/>
    <w:rsid w:val="3995213C"/>
    <w:rsid w:val="39A21032"/>
    <w:rsid w:val="3ACF167E"/>
    <w:rsid w:val="3BAF1030"/>
    <w:rsid w:val="3D430C19"/>
    <w:rsid w:val="3DA7528E"/>
    <w:rsid w:val="3E107A74"/>
    <w:rsid w:val="3E236350"/>
    <w:rsid w:val="40AD06B3"/>
    <w:rsid w:val="41081F61"/>
    <w:rsid w:val="412C00FA"/>
    <w:rsid w:val="412F30A7"/>
    <w:rsid w:val="41AD15F9"/>
    <w:rsid w:val="41DF1239"/>
    <w:rsid w:val="425272A4"/>
    <w:rsid w:val="436438EC"/>
    <w:rsid w:val="438C45B0"/>
    <w:rsid w:val="44004191"/>
    <w:rsid w:val="443013B0"/>
    <w:rsid w:val="4441668B"/>
    <w:rsid w:val="44FD51B4"/>
    <w:rsid w:val="46052D96"/>
    <w:rsid w:val="46453E14"/>
    <w:rsid w:val="46DC2172"/>
    <w:rsid w:val="46DC4519"/>
    <w:rsid w:val="47CE2EEB"/>
    <w:rsid w:val="48581111"/>
    <w:rsid w:val="48CC454A"/>
    <w:rsid w:val="4935140F"/>
    <w:rsid w:val="497A75A0"/>
    <w:rsid w:val="4A306AFE"/>
    <w:rsid w:val="4AA712C9"/>
    <w:rsid w:val="4AD24829"/>
    <w:rsid w:val="4AD66A58"/>
    <w:rsid w:val="4BE25004"/>
    <w:rsid w:val="4C321DE9"/>
    <w:rsid w:val="4C3457E4"/>
    <w:rsid w:val="4C346798"/>
    <w:rsid w:val="4CFB4744"/>
    <w:rsid w:val="4D37250E"/>
    <w:rsid w:val="4D4E28D6"/>
    <w:rsid w:val="4DAD1CF2"/>
    <w:rsid w:val="4FD23C92"/>
    <w:rsid w:val="502F4C40"/>
    <w:rsid w:val="509C305B"/>
    <w:rsid w:val="50AC6291"/>
    <w:rsid w:val="51257DF2"/>
    <w:rsid w:val="52D4387D"/>
    <w:rsid w:val="53394028"/>
    <w:rsid w:val="537C6538"/>
    <w:rsid w:val="53DF697E"/>
    <w:rsid w:val="547C74AB"/>
    <w:rsid w:val="551C4DAD"/>
    <w:rsid w:val="55591B89"/>
    <w:rsid w:val="55A737D5"/>
    <w:rsid w:val="57B34E11"/>
    <w:rsid w:val="57BF2D4E"/>
    <w:rsid w:val="57BF4ADE"/>
    <w:rsid w:val="582279E4"/>
    <w:rsid w:val="58FF0656"/>
    <w:rsid w:val="593B38F1"/>
    <w:rsid w:val="599640CE"/>
    <w:rsid w:val="5B152EA7"/>
    <w:rsid w:val="5D245401"/>
    <w:rsid w:val="5D272917"/>
    <w:rsid w:val="5E4A3FF3"/>
    <w:rsid w:val="5ECD6940"/>
    <w:rsid w:val="5F42418F"/>
    <w:rsid w:val="5F5F4B0A"/>
    <w:rsid w:val="5F93061C"/>
    <w:rsid w:val="5FE5531C"/>
    <w:rsid w:val="604434F0"/>
    <w:rsid w:val="60561D75"/>
    <w:rsid w:val="62635D5B"/>
    <w:rsid w:val="634378EA"/>
    <w:rsid w:val="634A566E"/>
    <w:rsid w:val="637F15E3"/>
    <w:rsid w:val="64202DC6"/>
    <w:rsid w:val="64414AEB"/>
    <w:rsid w:val="64434251"/>
    <w:rsid w:val="653308D7"/>
    <w:rsid w:val="654B73EF"/>
    <w:rsid w:val="65B03CD6"/>
    <w:rsid w:val="65CB6D62"/>
    <w:rsid w:val="6615622F"/>
    <w:rsid w:val="674A0CE0"/>
    <w:rsid w:val="67CD3979"/>
    <w:rsid w:val="68442DFB"/>
    <w:rsid w:val="68AA137B"/>
    <w:rsid w:val="6956286C"/>
    <w:rsid w:val="6A85272E"/>
    <w:rsid w:val="6A94279C"/>
    <w:rsid w:val="6AAF6CBF"/>
    <w:rsid w:val="6B2807B2"/>
    <w:rsid w:val="6B637A3C"/>
    <w:rsid w:val="6CFA6474"/>
    <w:rsid w:val="6DD20EAC"/>
    <w:rsid w:val="6E2113B2"/>
    <w:rsid w:val="6E481DD5"/>
    <w:rsid w:val="6E55366C"/>
    <w:rsid w:val="6ED05696"/>
    <w:rsid w:val="6F80296B"/>
    <w:rsid w:val="6FBE3493"/>
    <w:rsid w:val="6FC74EF4"/>
    <w:rsid w:val="6FF82FFB"/>
    <w:rsid w:val="707D50FC"/>
    <w:rsid w:val="713D73C8"/>
    <w:rsid w:val="71756AE3"/>
    <w:rsid w:val="731A05CB"/>
    <w:rsid w:val="73547C12"/>
    <w:rsid w:val="73CA6B7F"/>
    <w:rsid w:val="744C0277"/>
    <w:rsid w:val="75BC227E"/>
    <w:rsid w:val="75FE0072"/>
    <w:rsid w:val="7682346D"/>
    <w:rsid w:val="77305BC3"/>
    <w:rsid w:val="779D6E8E"/>
    <w:rsid w:val="77FE49FE"/>
    <w:rsid w:val="782D565A"/>
    <w:rsid w:val="783834FC"/>
    <w:rsid w:val="788513C9"/>
    <w:rsid w:val="7A7371B1"/>
    <w:rsid w:val="7B6F8E12"/>
    <w:rsid w:val="7BC02341"/>
    <w:rsid w:val="7C055841"/>
    <w:rsid w:val="7CBD07BD"/>
    <w:rsid w:val="7CED4E43"/>
    <w:rsid w:val="7EC20930"/>
    <w:rsid w:val="EED7E14F"/>
    <w:rsid w:val="FCDF0910"/>
    <w:rsid w:val="FEFE6912"/>
    <w:rsid w:val="FF73E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99"/>
    <w:pPr>
      <w:keepNext/>
      <w:keepLines/>
      <w:spacing w:before="260" w:after="260" w:line="416" w:lineRule="auto"/>
      <w:outlineLvl w:val="1"/>
    </w:pPr>
    <w:rPr>
      <w:rFonts w:ascii="Cambria" w:hAnsi="Cambria"/>
      <w:b/>
      <w:bCs/>
      <w:kern w:val="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16"/>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
    <w:name w:val="15"/>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5171</Words>
  <Characters>5434</Characters>
  <Lines>84</Lines>
  <Paragraphs>23</Paragraphs>
  <TotalTime>19</TotalTime>
  <ScaleCrop>false</ScaleCrop>
  <LinksUpToDate>false</LinksUpToDate>
  <CharactersWithSpaces>5444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2024-10-31T00:24:00Z</dcterms:created>
  <dc:creator>Administrator</dc:creator>
  <cp:lastModifiedBy>大明湖畔的小胖子</cp:lastModifiedBy>
  <cp:lastPrinted>2025-07-31T02:52:00Z</cp:lastPrinted>
  <dcterms:modified xsi:type="dcterms:W3CDTF">2025-09-30T08:52:14Z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85F6E1A281E74BD5AC8ECD7A17C6E4B9_13</vt:lpwstr>
  </property>
  <property fmtid="{D5CDD505-2E9C-101B-9397-08002B2CF9AE}" pid="4" name="KSOTemplateDocerSaveRecord">
    <vt:lpwstr>eyJoZGlkIjoiNzM2NGM2NmFlMWY2ZGY3MzYyNjlkMWRmYWQ2ODk4ZjUiLCJ1c2VySWQiOiI0NDgyNDIyNTMifQ==</vt:lpwstr>
  </property>
</Properties>
</file>